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D5989">
      <w:pPr>
        <w:overflowPunct w:val="0"/>
        <w:autoSpaceDE w:val="0"/>
        <w:autoSpaceDN w:val="0"/>
        <w:adjustRightInd w:val="0"/>
        <w:snapToGrid w:val="0"/>
        <w:spacing w:line="360" w:lineRule="auto"/>
        <w:jc w:val="center"/>
        <w:rPr>
          <w:rFonts w:hint="eastAsia" w:eastAsia="黑体"/>
          <w:kern w:val="44"/>
          <w:sz w:val="30"/>
          <w:lang w:val="zh-CN" w:eastAsia="zh-CN"/>
        </w:rPr>
      </w:pPr>
      <w:bookmarkStart w:id="0" w:name="OLE_LINK1"/>
      <w:bookmarkStart w:id="1" w:name="OLE_LINK2"/>
      <w:r>
        <w:rPr>
          <w:rFonts w:hint="eastAsia" w:eastAsia="黑体"/>
          <w:kern w:val="44"/>
          <w:sz w:val="30"/>
          <w:lang w:val="zh-CN" w:eastAsia="zh-CN"/>
        </w:rPr>
        <w:t>山东省泰安英雄山中学生物、化学、物理实验室配套设施改造</w:t>
      </w:r>
    </w:p>
    <w:p w14:paraId="5E140D9F">
      <w:pPr>
        <w:overflowPunct w:val="0"/>
        <w:autoSpaceDE w:val="0"/>
        <w:autoSpaceDN w:val="0"/>
        <w:adjustRightInd w:val="0"/>
        <w:snapToGrid w:val="0"/>
        <w:spacing w:line="360" w:lineRule="auto"/>
        <w:jc w:val="center"/>
        <w:rPr>
          <w:rFonts w:hint="default" w:eastAsia="黑体"/>
        </w:rPr>
      </w:pPr>
      <w:r>
        <w:rPr>
          <w:rFonts w:hint="eastAsia" w:eastAsia="黑体"/>
          <w:kern w:val="44"/>
          <w:sz w:val="30"/>
          <w:lang w:val="zh-CN" w:eastAsia="zh-CN"/>
        </w:rPr>
        <w:t>设计服务项目</w:t>
      </w:r>
      <w:r>
        <w:rPr>
          <w:rFonts w:eastAsia="黑体"/>
          <w:kern w:val="44"/>
          <w:sz w:val="30"/>
        </w:rPr>
        <w:t>询比价公告</w:t>
      </w:r>
    </w:p>
    <w:bookmarkEnd w:id="0"/>
    <w:bookmarkEnd w:id="1"/>
    <w:p w14:paraId="64CB69EF">
      <w:pPr>
        <w:adjustRightInd w:val="0"/>
        <w:snapToGrid w:val="0"/>
        <w:spacing w:line="360" w:lineRule="auto"/>
        <w:rPr>
          <w:rFonts w:hint="default"/>
        </w:rPr>
      </w:pPr>
    </w:p>
    <w:p w14:paraId="055C139F">
      <w:pPr>
        <w:spacing w:line="360" w:lineRule="auto"/>
        <w:ind w:firstLine="480" w:firstLineChars="200"/>
        <w:rPr>
          <w:rFonts w:hint="default" w:ascii="仿宋" w:hAnsi="仿宋" w:eastAsia="仿宋" w:cs="仿宋"/>
          <w:sz w:val="24"/>
          <w:szCs w:val="24"/>
          <w:highlight w:val="none"/>
        </w:rPr>
      </w:pPr>
      <w:r>
        <w:rPr>
          <w:rFonts w:hint="eastAsia" w:ascii="仿宋_GB2312" w:hAnsi="仿宋_GB2312" w:eastAsia="仿宋_GB2312" w:cs="仿宋_GB2312"/>
          <w:bCs/>
          <w:sz w:val="24"/>
          <w:szCs w:val="22"/>
          <w:lang w:val="zh-CN" w:eastAsia="zh-CN"/>
        </w:rPr>
        <w:t>山东省泰安英雄山中学生物、化学、物理实验室配套设施改造设计服务项目</w:t>
      </w:r>
      <w:r>
        <w:rPr>
          <w:rFonts w:ascii="仿宋_GB2312" w:hAnsi="仿宋_GB2312" w:eastAsia="仿宋_GB2312" w:cs="仿宋_GB2312"/>
          <w:bCs/>
          <w:sz w:val="24"/>
          <w:szCs w:val="22"/>
          <w:lang w:val="zh-CN"/>
        </w:rPr>
        <w:t>以询比价方式进</w:t>
      </w:r>
      <w:r>
        <w:rPr>
          <w:rFonts w:ascii="仿宋" w:hAnsi="仿宋" w:eastAsia="仿宋" w:cs="仿宋"/>
          <w:sz w:val="24"/>
          <w:szCs w:val="24"/>
        </w:rPr>
        <w:t>行采购，现公开征集符合条件</w:t>
      </w:r>
      <w:r>
        <w:rPr>
          <w:rFonts w:ascii="仿宋" w:hAnsi="仿宋" w:eastAsia="仿宋" w:cs="仿宋"/>
          <w:sz w:val="24"/>
          <w:szCs w:val="24"/>
          <w:highlight w:val="none"/>
        </w:rPr>
        <w:t>的供应商参加本项目询比价。</w:t>
      </w:r>
    </w:p>
    <w:p w14:paraId="14B1EE0E">
      <w:pPr>
        <w:numPr>
          <w:ilvl w:val="0"/>
          <w:numId w:val="0"/>
        </w:numPr>
        <w:overflowPunct w:val="0"/>
        <w:autoSpaceDE w:val="0"/>
        <w:autoSpaceDN w:val="0"/>
        <w:adjustRightInd w:val="0"/>
        <w:snapToGrid w:val="0"/>
        <w:spacing w:line="360" w:lineRule="auto"/>
        <w:jc w:val="left"/>
        <w:rPr>
          <w:rFonts w:hint="default"/>
          <w:lang w:val="en-US" w:eastAsia="zh-CN"/>
        </w:rPr>
      </w:pPr>
      <w:r>
        <w:rPr>
          <w:rFonts w:hint="default"/>
          <w:kern w:val="2"/>
          <w:sz w:val="21"/>
          <w:lang w:val="en-US" w:eastAsia="zh-CN" w:bidi="ar-SA"/>
        </w:rPr>
        <w:t>1、</w:t>
      </w:r>
      <w:r>
        <w:rPr>
          <w:rFonts w:ascii="仿宋_GB2312" w:hAnsi="楷体" w:eastAsia="仿宋_GB2312"/>
          <w:sz w:val="24"/>
          <w:szCs w:val="24"/>
          <w:highlight w:val="none"/>
          <w:lang w:val="zh-CN"/>
        </w:rPr>
        <w:t>项目名称</w:t>
      </w:r>
      <w:r>
        <w:rPr>
          <w:rFonts w:ascii="仿宋_GB2312" w:hAnsi="仿宋_GB2312" w:eastAsia="仿宋_GB2312" w:cs="仿宋_GB2312"/>
          <w:bCs/>
          <w:sz w:val="24"/>
          <w:highlight w:val="none"/>
        </w:rPr>
        <w:t>：</w:t>
      </w:r>
      <w:r>
        <w:rPr>
          <w:rFonts w:hint="eastAsia" w:ascii="仿宋_GB2312" w:hAnsi="仿宋_GB2312" w:eastAsia="仿宋_GB2312" w:cs="仿宋_GB2312"/>
          <w:bCs/>
          <w:sz w:val="24"/>
          <w:highlight w:val="none"/>
          <w:lang w:val="zh-CN" w:eastAsia="zh-CN"/>
        </w:rPr>
        <w:t>山东省泰安英雄山中学生物、化学、物理实验室配套设施改造设计服务项目</w:t>
      </w:r>
    </w:p>
    <w:p w14:paraId="1EC6DB91">
      <w:pPr>
        <w:overflowPunct w:val="0"/>
        <w:autoSpaceDE w:val="0"/>
        <w:autoSpaceDN w:val="0"/>
        <w:adjustRightInd w:val="0"/>
        <w:snapToGrid w:val="0"/>
        <w:spacing w:line="360" w:lineRule="auto"/>
        <w:jc w:val="left"/>
        <w:rPr>
          <w:rFonts w:hint="eastAsia" w:ascii="仿宋_GB2312" w:hAnsi="仿宋_GB2312" w:eastAsia="仿宋_GB2312" w:cs="仿宋_GB2312"/>
          <w:bCs/>
          <w:sz w:val="24"/>
          <w:szCs w:val="22"/>
          <w:highlight w:val="none"/>
          <w:lang w:val="en-US" w:eastAsia="zh-CN"/>
        </w:rPr>
      </w:pPr>
      <w:r>
        <w:rPr>
          <w:rFonts w:ascii="仿宋_GB2312" w:hAnsi="仿宋_GB2312" w:eastAsia="仿宋_GB2312" w:cs="仿宋_GB2312"/>
          <w:bCs/>
          <w:sz w:val="24"/>
          <w:highlight w:val="none"/>
        </w:rPr>
        <w:t>2、</w:t>
      </w:r>
      <w:r>
        <w:rPr>
          <w:rFonts w:hint="eastAsia" w:ascii="仿宋_GB2312" w:hAnsi="仿宋_GB2312" w:eastAsia="仿宋_GB2312" w:cs="仿宋_GB2312"/>
          <w:bCs/>
          <w:sz w:val="24"/>
          <w:highlight w:val="none"/>
          <w:lang w:val="en-US" w:eastAsia="zh-CN"/>
        </w:rPr>
        <w:t>服务</w:t>
      </w:r>
      <w:r>
        <w:rPr>
          <w:rFonts w:hint="eastAsia" w:ascii="仿宋_GB2312" w:hAnsi="仿宋_GB2312" w:eastAsia="仿宋_GB2312" w:cs="仿宋_GB2312"/>
          <w:bCs/>
          <w:sz w:val="24"/>
          <w:highlight w:val="none"/>
          <w:lang w:val="zh-CN" w:eastAsia="zh-CN"/>
        </w:rPr>
        <w:t>期限</w:t>
      </w:r>
      <w:r>
        <w:rPr>
          <w:rFonts w:hint="eastAsia" w:ascii="仿宋_GB2312" w:hAnsi="仿宋_GB2312" w:eastAsia="仿宋_GB2312" w:cs="仿宋_GB2312"/>
          <w:bCs/>
          <w:sz w:val="24"/>
          <w:highlight w:val="none"/>
          <w:lang w:val="en-US" w:eastAsia="zh-CN"/>
        </w:rPr>
        <w:t>：合同签订后7日内交付合格成果资料。</w:t>
      </w:r>
    </w:p>
    <w:p w14:paraId="23C5DFBC">
      <w:pPr>
        <w:numPr>
          <w:ilvl w:val="0"/>
          <w:numId w:val="0"/>
        </w:numPr>
        <w:overflowPunct w:val="0"/>
        <w:autoSpaceDE w:val="0"/>
        <w:autoSpaceDN w:val="0"/>
        <w:adjustRightInd w:val="0"/>
        <w:snapToGrid w:val="0"/>
        <w:spacing w:line="360" w:lineRule="auto"/>
        <w:jc w:val="left"/>
        <w:rPr>
          <w:rFonts w:hint="eastAsia" w:ascii="仿宋_GB2312" w:hAnsi="楷体" w:eastAsia="仿宋_GB2312" w:cs="Times New Roman"/>
          <w:color w:val="auto"/>
          <w:sz w:val="24"/>
          <w:szCs w:val="24"/>
          <w:highlight w:val="none"/>
          <w:lang w:val="en-US" w:eastAsia="zh-CN"/>
        </w:rPr>
      </w:pPr>
      <w:r>
        <w:rPr>
          <w:rFonts w:hint="eastAsia" w:ascii="仿宋_GB2312" w:hAnsi="仿宋_GB2312" w:eastAsia="仿宋_GB2312" w:cs="仿宋_GB2312"/>
          <w:bCs/>
          <w:color w:val="auto"/>
          <w:sz w:val="24"/>
          <w:szCs w:val="22"/>
          <w:highlight w:val="none"/>
          <w:lang w:val="en-US" w:eastAsia="zh-CN"/>
        </w:rPr>
        <w:t>3</w:t>
      </w:r>
      <w:r>
        <w:rPr>
          <w:rFonts w:ascii="仿宋_GB2312" w:hAnsi="仿宋_GB2312" w:eastAsia="仿宋_GB2312" w:cs="仿宋_GB2312"/>
          <w:bCs/>
          <w:color w:val="auto"/>
          <w:sz w:val="24"/>
          <w:szCs w:val="22"/>
          <w:highlight w:val="none"/>
          <w:lang w:val="zh-CN"/>
        </w:rPr>
        <w:t>、</w:t>
      </w:r>
      <w:r>
        <w:rPr>
          <w:rFonts w:hint="eastAsia" w:ascii="仿宋_GB2312" w:hAnsi="仿宋_GB2312" w:eastAsia="仿宋_GB2312" w:cs="仿宋_GB2312"/>
          <w:bCs/>
          <w:color w:val="auto"/>
          <w:sz w:val="24"/>
          <w:szCs w:val="22"/>
          <w:highlight w:val="none"/>
          <w:lang w:val="en-US" w:eastAsia="zh-CN"/>
        </w:rPr>
        <w:t>预算控制价</w:t>
      </w:r>
      <w:r>
        <w:rPr>
          <w:rFonts w:hint="eastAsia" w:ascii="仿宋_GB2312" w:hAnsi="仿宋" w:eastAsia="仿宋_GB2312" w:cs="Times New Roman"/>
          <w:color w:val="auto"/>
          <w:sz w:val="24"/>
          <w:highlight w:val="none"/>
          <w:lang w:val="en-US" w:eastAsia="zh-CN"/>
        </w:rPr>
        <w:t>：</w:t>
      </w:r>
      <w:r>
        <w:rPr>
          <w:rFonts w:hint="eastAsia" w:ascii="仿宋" w:hAnsi="仿宋" w:eastAsia="仿宋" w:cs="仿宋"/>
          <w:color w:val="auto"/>
          <w:sz w:val="24"/>
          <w:szCs w:val="24"/>
          <w:highlight w:val="none"/>
          <w:lang w:val="en-US" w:eastAsia="zh-CN"/>
        </w:rPr>
        <w:t>10000元。</w:t>
      </w:r>
    </w:p>
    <w:p w14:paraId="0FD5D17C">
      <w:pPr>
        <w:numPr>
          <w:ilvl w:val="0"/>
          <w:numId w:val="0"/>
        </w:numPr>
        <w:overflowPunct w:val="0"/>
        <w:autoSpaceDE w:val="0"/>
        <w:autoSpaceDN w:val="0"/>
        <w:adjustRightInd w:val="0"/>
        <w:snapToGrid w:val="0"/>
        <w:spacing w:line="360" w:lineRule="auto"/>
        <w:jc w:val="left"/>
        <w:rPr>
          <w:rFonts w:hint="default" w:ascii="仿宋_GB2312" w:hAnsi="楷体" w:eastAsia="仿宋_GB2312" w:cs="Times New Roman"/>
          <w:sz w:val="24"/>
          <w:szCs w:val="24"/>
          <w:highlight w:val="none"/>
          <w:lang w:val="en-US" w:eastAsia="zh-CN"/>
        </w:rPr>
      </w:pPr>
      <w:r>
        <w:rPr>
          <w:rFonts w:hint="eastAsia" w:ascii="仿宋_GB2312" w:hAnsi="楷体" w:eastAsia="仿宋_GB2312" w:cs="Times New Roman"/>
          <w:sz w:val="24"/>
          <w:szCs w:val="24"/>
          <w:highlight w:val="none"/>
          <w:lang w:val="en-US" w:eastAsia="zh-CN"/>
        </w:rPr>
        <w:t>4、</w:t>
      </w:r>
      <w:r>
        <w:rPr>
          <w:rFonts w:hint="default" w:ascii="仿宋_GB2312" w:hAnsi="楷体" w:eastAsia="仿宋_GB2312" w:cs="Times New Roman"/>
          <w:sz w:val="24"/>
          <w:szCs w:val="24"/>
          <w:highlight w:val="none"/>
          <w:lang w:val="en-US" w:eastAsia="zh-CN"/>
        </w:rPr>
        <w:t>采购需求：本项目为山东省泰安英雄山中学生物、化学、物理实验室配套设施改造设计</w:t>
      </w:r>
      <w:r>
        <w:rPr>
          <w:rFonts w:hint="eastAsia" w:ascii="仿宋_GB2312" w:hAnsi="楷体" w:eastAsia="仿宋_GB2312" w:cs="Times New Roman"/>
          <w:sz w:val="24"/>
          <w:szCs w:val="24"/>
          <w:highlight w:val="none"/>
          <w:lang w:val="en-US" w:eastAsia="zh-CN"/>
        </w:rPr>
        <w:t>及与之</w:t>
      </w:r>
      <w:r>
        <w:rPr>
          <w:rFonts w:hint="default" w:ascii="仿宋_GB2312" w:hAnsi="楷体" w:eastAsia="仿宋_GB2312" w:cs="Times New Roman"/>
          <w:sz w:val="24"/>
          <w:szCs w:val="24"/>
          <w:highlight w:val="none"/>
          <w:lang w:val="en-US" w:eastAsia="zh-CN"/>
        </w:rPr>
        <w:t>相关服务</w:t>
      </w:r>
    </w:p>
    <w:p w14:paraId="1A70443C">
      <w:pPr>
        <w:numPr>
          <w:ilvl w:val="0"/>
          <w:numId w:val="0"/>
        </w:numPr>
        <w:overflowPunct w:val="0"/>
        <w:autoSpaceDE w:val="0"/>
        <w:autoSpaceDN w:val="0"/>
        <w:adjustRightInd w:val="0"/>
        <w:snapToGrid w:val="0"/>
        <w:spacing w:line="360" w:lineRule="auto"/>
        <w:jc w:val="left"/>
        <w:rPr>
          <w:rFonts w:hint="default" w:ascii="仿宋_GB2312" w:hAnsi="楷体" w:eastAsia="仿宋_GB2312" w:cs="Times New Roman"/>
          <w:sz w:val="24"/>
          <w:szCs w:val="24"/>
          <w:highlight w:val="none"/>
          <w:lang w:val="zh-CN"/>
        </w:rPr>
      </w:pPr>
      <w:r>
        <w:rPr>
          <w:rFonts w:hint="eastAsia" w:ascii="仿宋_GB2312" w:hAnsi="楷体" w:eastAsia="仿宋_GB2312" w:cs="Times New Roman"/>
          <w:sz w:val="24"/>
          <w:szCs w:val="24"/>
          <w:highlight w:val="none"/>
          <w:lang w:val="en-US" w:eastAsia="zh-CN"/>
        </w:rPr>
        <w:t>5</w:t>
      </w:r>
      <w:r>
        <w:rPr>
          <w:rFonts w:hint="default" w:ascii="仿宋_GB2312" w:hAnsi="楷体" w:eastAsia="仿宋_GB2312" w:cs="Times New Roman"/>
          <w:sz w:val="24"/>
          <w:szCs w:val="24"/>
          <w:highlight w:val="none"/>
          <w:lang w:val="zh-CN"/>
        </w:rPr>
        <w:t>、</w:t>
      </w:r>
      <w:r>
        <w:rPr>
          <w:rFonts w:ascii="仿宋_GB2312" w:hAnsi="楷体" w:eastAsia="仿宋_GB2312" w:cs="Times New Roman"/>
          <w:sz w:val="24"/>
          <w:szCs w:val="24"/>
          <w:highlight w:val="none"/>
          <w:lang w:val="zh-CN"/>
        </w:rPr>
        <w:t>供应商资格要求</w:t>
      </w:r>
    </w:p>
    <w:p w14:paraId="3A2AAE06">
      <w:pPr>
        <w:overflowPunct w:val="0"/>
        <w:autoSpaceDE w:val="0"/>
        <w:autoSpaceDN w:val="0"/>
        <w:adjustRightInd w:val="0"/>
        <w:snapToGrid w:val="0"/>
        <w:spacing w:line="360" w:lineRule="auto"/>
        <w:ind w:firstLine="240" w:firstLineChars="100"/>
        <w:jc w:val="left"/>
        <w:rPr>
          <w:rFonts w:hint="eastAsia" w:ascii="仿宋_GB2312" w:hAnsi="仿宋_GB2312" w:eastAsia="仿宋_GB2312" w:cs="仿宋_GB2312"/>
          <w:bCs/>
          <w:sz w:val="24"/>
          <w:szCs w:val="22"/>
          <w:lang w:val="en-US" w:eastAsia="zh-CN"/>
        </w:rPr>
      </w:pPr>
      <w:bookmarkStart w:id="2" w:name="_Toc28359091"/>
      <w:bookmarkEnd w:id="2"/>
      <w:bookmarkStart w:id="3" w:name="_Toc28359014"/>
      <w:bookmarkEnd w:id="3"/>
      <w:bookmarkStart w:id="4" w:name="_Toc35393631"/>
      <w:bookmarkEnd w:id="4"/>
      <w:r>
        <w:rPr>
          <w:rFonts w:hint="eastAsia" w:ascii="仿宋_GB2312" w:hAnsi="仿宋_GB2312" w:eastAsia="仿宋_GB2312" w:cs="仿宋_GB2312"/>
          <w:bCs/>
          <w:sz w:val="24"/>
          <w:szCs w:val="22"/>
          <w:lang w:val="en-US" w:eastAsia="zh-CN"/>
        </w:rPr>
        <w:t>（1）供应商须具有工程设计建筑行业乙级（含）以上或工程设计建筑行业（建筑工程）专业资质乙级（含）以上资质，并具有相应的设计服务能力；</w:t>
      </w:r>
    </w:p>
    <w:p w14:paraId="6966D88F">
      <w:pPr>
        <w:overflowPunct w:val="0"/>
        <w:autoSpaceDE w:val="0"/>
        <w:autoSpaceDN w:val="0"/>
        <w:adjustRightInd w:val="0"/>
        <w:snapToGrid w:val="0"/>
        <w:spacing w:line="360" w:lineRule="auto"/>
        <w:ind w:firstLine="240" w:firstLineChars="100"/>
        <w:jc w:val="left"/>
        <w:rPr>
          <w:rFonts w:hint="eastAsia" w:ascii="仿宋_GB2312" w:hAnsi="仿宋_GB2312" w:eastAsia="仿宋_GB2312" w:cs="仿宋_GB2312"/>
          <w:bCs/>
          <w:sz w:val="24"/>
          <w:szCs w:val="22"/>
          <w:lang w:val="en-US" w:eastAsia="zh-CN"/>
        </w:rPr>
      </w:pPr>
      <w:r>
        <w:rPr>
          <w:rFonts w:hint="eastAsia" w:ascii="仿宋_GB2312" w:hAnsi="仿宋_GB2312" w:eastAsia="仿宋_GB2312" w:cs="仿宋_GB2312"/>
          <w:bCs/>
          <w:sz w:val="24"/>
          <w:szCs w:val="22"/>
          <w:lang w:val="en-US" w:eastAsia="zh-CN"/>
        </w:rPr>
        <w:t>（2）本项目不接受联合体报价。</w:t>
      </w:r>
    </w:p>
    <w:p w14:paraId="31D6E8AC">
      <w:pPr>
        <w:overflowPunct w:val="0"/>
        <w:autoSpaceDE w:val="0"/>
        <w:autoSpaceDN w:val="0"/>
        <w:adjustRightInd w:val="0"/>
        <w:snapToGrid w:val="0"/>
        <w:spacing w:line="360" w:lineRule="auto"/>
        <w:jc w:val="left"/>
        <w:rPr>
          <w:rFonts w:hint="eastAsia" w:ascii="仿宋_GB2312" w:hAnsi="仿宋_GB2312" w:eastAsia="仿宋_GB2312" w:cs="仿宋_GB2312"/>
          <w:bCs/>
          <w:kern w:val="2"/>
          <w:sz w:val="24"/>
          <w:szCs w:val="22"/>
          <w:lang w:val="zh-CN" w:eastAsia="zh-CN" w:bidi="ar-SA"/>
        </w:rPr>
      </w:pPr>
      <w:r>
        <w:rPr>
          <w:rFonts w:hint="eastAsia" w:ascii="仿宋_GB2312" w:hAnsi="仿宋_GB2312" w:eastAsia="仿宋_GB2312" w:cs="仿宋_GB2312"/>
          <w:bCs/>
          <w:sz w:val="24"/>
          <w:szCs w:val="22"/>
          <w:lang w:val="en-US" w:eastAsia="zh-CN"/>
        </w:rPr>
        <w:t>6</w:t>
      </w:r>
      <w:r>
        <w:rPr>
          <w:rFonts w:ascii="仿宋_GB2312" w:hAnsi="仿宋_GB2312" w:eastAsia="仿宋_GB2312" w:cs="仿宋_GB2312"/>
          <w:bCs/>
          <w:sz w:val="24"/>
          <w:szCs w:val="22"/>
          <w:lang w:val="zh-CN"/>
        </w:rPr>
        <w:t>、报价方式：</w:t>
      </w:r>
      <w:r>
        <w:rPr>
          <w:rFonts w:hint="eastAsia" w:ascii="仿宋_GB2312" w:hAnsi="仿宋_GB2312" w:eastAsia="仿宋_GB2312" w:cs="仿宋_GB2312"/>
          <w:bCs/>
          <w:sz w:val="24"/>
          <w:szCs w:val="22"/>
          <w:lang w:val="zh-CN" w:eastAsia="zh-CN"/>
        </w:rPr>
        <w:t>供应商所报价格为含税全包价，包括但不限于设计费（方案设计、初步设计、施工图设计等）、变更费、现场咨询服务费（后续服务)、基础资料获取、税金、利润、保险及合同明示或暗示的所有责任、义务、风险及政策性文件规定的各项应有费用。</w:t>
      </w:r>
    </w:p>
    <w:p w14:paraId="6F7E04AB">
      <w:pPr>
        <w:overflowPunct w:val="0"/>
        <w:autoSpaceDE w:val="0"/>
        <w:autoSpaceDN w:val="0"/>
        <w:adjustRightInd w:val="0"/>
        <w:snapToGrid w:val="0"/>
        <w:spacing w:line="360" w:lineRule="auto"/>
        <w:jc w:val="left"/>
        <w:rPr>
          <w:rFonts w:hint="default" w:ascii="仿宋_GB2312" w:hAnsi="仿宋_GB2312" w:eastAsia="仿宋_GB2312" w:cs="仿宋_GB2312"/>
          <w:bCs/>
          <w:sz w:val="24"/>
          <w:szCs w:val="22"/>
          <w:highlight w:val="none"/>
          <w:lang w:val="zh-CN"/>
        </w:rPr>
      </w:pPr>
      <w:r>
        <w:rPr>
          <w:rFonts w:hint="eastAsia" w:ascii="仿宋_GB2312" w:hAnsi="仿宋_GB2312" w:eastAsia="仿宋_GB2312" w:cs="仿宋_GB2312"/>
          <w:bCs/>
          <w:sz w:val="24"/>
          <w:szCs w:val="22"/>
          <w:highlight w:val="none"/>
          <w:lang w:val="en-US" w:eastAsia="zh-CN"/>
        </w:rPr>
        <w:t>7</w:t>
      </w:r>
      <w:r>
        <w:rPr>
          <w:rFonts w:ascii="仿宋_GB2312" w:hAnsi="仿宋_GB2312" w:eastAsia="仿宋_GB2312" w:cs="仿宋_GB2312"/>
          <w:bCs/>
          <w:sz w:val="24"/>
          <w:szCs w:val="22"/>
          <w:highlight w:val="none"/>
          <w:lang w:val="zh-CN"/>
        </w:rPr>
        <w:t>、评审办法：最低评标价法</w:t>
      </w:r>
    </w:p>
    <w:p w14:paraId="1C1C13AB">
      <w:pPr>
        <w:overflowPunct w:val="0"/>
        <w:autoSpaceDE w:val="0"/>
        <w:autoSpaceDN w:val="0"/>
        <w:adjustRightInd w:val="0"/>
        <w:snapToGrid w:val="0"/>
        <w:spacing w:line="360" w:lineRule="auto"/>
        <w:jc w:val="left"/>
        <w:rPr>
          <w:rFonts w:hint="default" w:ascii="仿宋_GB2312" w:hAnsi="仿宋_GB2312" w:eastAsia="仿宋_GB2312" w:cs="仿宋_GB2312"/>
          <w:bCs/>
          <w:sz w:val="24"/>
          <w:szCs w:val="22"/>
          <w:highlight w:val="none"/>
          <w:lang w:val="zh-CN"/>
        </w:rPr>
      </w:pPr>
      <w:r>
        <w:rPr>
          <w:rFonts w:hint="eastAsia" w:ascii="仿宋_GB2312" w:hAnsi="仿宋_GB2312" w:eastAsia="仿宋_GB2312" w:cs="仿宋_GB2312"/>
          <w:bCs/>
          <w:sz w:val="24"/>
          <w:szCs w:val="22"/>
          <w:highlight w:val="none"/>
          <w:lang w:val="en-US" w:eastAsia="zh-CN"/>
        </w:rPr>
        <w:t>8</w:t>
      </w:r>
      <w:r>
        <w:rPr>
          <w:rFonts w:ascii="仿宋_GB2312" w:hAnsi="仿宋_GB2312" w:eastAsia="仿宋_GB2312" w:cs="仿宋_GB2312"/>
          <w:bCs/>
          <w:sz w:val="24"/>
          <w:szCs w:val="22"/>
          <w:highlight w:val="none"/>
          <w:lang w:val="zh-CN"/>
        </w:rPr>
        <w:t>、获取询比价文件</w:t>
      </w:r>
    </w:p>
    <w:p w14:paraId="0A8684C1">
      <w:pPr>
        <w:pStyle w:val="2"/>
        <w:adjustRightInd w:val="0"/>
        <w:snapToGrid w:val="0"/>
        <w:spacing w:line="360" w:lineRule="auto"/>
        <w:ind w:firstLine="480" w:firstLineChars="200"/>
        <w:rPr>
          <w:rFonts w:hint="eastAsia" w:ascii="仿宋_GB2312" w:hAnsi="仿宋_GB2312" w:eastAsia="仿宋_GB2312" w:cs="仿宋_GB2312"/>
          <w:szCs w:val="24"/>
          <w:highlight w:val="none"/>
          <w:lang w:val="zh-CN" w:eastAsia="zh-CN"/>
        </w:rPr>
      </w:pPr>
      <w:r>
        <w:rPr>
          <w:rFonts w:ascii="仿宋_GB2312" w:hAnsi="仿宋_GB2312" w:eastAsia="仿宋_GB2312" w:cs="仿宋_GB2312"/>
          <w:szCs w:val="24"/>
          <w:highlight w:val="none"/>
          <w:lang w:val="zh-CN"/>
        </w:rPr>
        <w:t>时间：</w:t>
      </w:r>
      <w:r>
        <w:rPr>
          <w:rFonts w:ascii="仿宋_GB2312" w:hAnsi="仿宋_GB2312" w:eastAsia="仿宋_GB2312" w:cs="仿宋_GB2312"/>
          <w:color w:val="auto"/>
          <w:szCs w:val="24"/>
          <w:highlight w:val="none"/>
          <w:lang w:val="zh-CN"/>
        </w:rPr>
        <w:t>自</w:t>
      </w:r>
      <w:r>
        <w:rPr>
          <w:rFonts w:hint="eastAsia" w:ascii="仿宋_GB2312" w:hAnsi="仿宋_GB2312" w:eastAsia="仿宋_GB2312" w:cs="仿宋_GB2312"/>
          <w:color w:val="auto"/>
          <w:szCs w:val="24"/>
          <w:highlight w:val="none"/>
          <w:lang w:val="en-US" w:eastAsia="zh-CN"/>
        </w:rPr>
        <w:t>2026</w:t>
      </w:r>
      <w:r>
        <w:rPr>
          <w:rFonts w:hint="eastAsia" w:ascii="仿宋_GB2312" w:hAnsi="仿宋_GB2312" w:eastAsia="仿宋_GB2312" w:cs="仿宋_GB2312"/>
          <w:color w:val="auto"/>
          <w:szCs w:val="24"/>
          <w:highlight w:val="none"/>
          <w:lang w:val="zh-CN"/>
        </w:rPr>
        <w:t>年</w:t>
      </w:r>
      <w:r>
        <w:rPr>
          <w:rFonts w:hint="eastAsia" w:ascii="仿宋_GB2312" w:hAnsi="仿宋_GB2312" w:eastAsia="仿宋_GB2312" w:cs="仿宋_GB2312"/>
          <w:color w:val="auto"/>
          <w:szCs w:val="24"/>
          <w:highlight w:val="none"/>
          <w:lang w:val="en-US" w:eastAsia="zh-CN"/>
        </w:rPr>
        <w:t>8</w:t>
      </w:r>
      <w:r>
        <w:rPr>
          <w:rFonts w:hint="eastAsia" w:ascii="仿宋_GB2312" w:hAnsi="仿宋_GB2312" w:eastAsia="仿宋_GB2312" w:cs="仿宋_GB2312"/>
          <w:color w:val="auto"/>
          <w:szCs w:val="24"/>
          <w:highlight w:val="none"/>
          <w:lang w:val="zh-CN"/>
        </w:rPr>
        <w:t>月</w:t>
      </w:r>
      <w:r>
        <w:rPr>
          <w:rFonts w:hint="eastAsia" w:ascii="仿宋_GB2312" w:hAnsi="仿宋_GB2312" w:eastAsia="仿宋_GB2312" w:cs="仿宋_GB2312"/>
          <w:color w:val="auto"/>
          <w:szCs w:val="24"/>
          <w:highlight w:val="none"/>
          <w:lang w:val="en-US" w:eastAsia="zh-CN"/>
        </w:rPr>
        <w:t>19</w:t>
      </w:r>
      <w:r>
        <w:rPr>
          <w:rFonts w:ascii="仿宋_GB2312" w:hAnsi="仿宋_GB2312" w:eastAsia="仿宋_GB2312" w:cs="仿宋_GB2312"/>
          <w:color w:val="auto"/>
          <w:szCs w:val="24"/>
          <w:highlight w:val="none"/>
          <w:lang w:val="zh-CN"/>
        </w:rPr>
        <w:t>日起至</w:t>
      </w:r>
      <w:r>
        <w:rPr>
          <w:rFonts w:hint="eastAsia" w:ascii="仿宋_GB2312" w:hAnsi="仿宋_GB2312" w:eastAsia="仿宋_GB2312" w:cs="仿宋_GB2312"/>
          <w:color w:val="auto"/>
          <w:szCs w:val="24"/>
          <w:highlight w:val="none"/>
          <w:lang w:val="en-US" w:eastAsia="zh-CN"/>
        </w:rPr>
        <w:t>2026</w:t>
      </w:r>
      <w:r>
        <w:rPr>
          <w:rFonts w:hint="eastAsia" w:ascii="仿宋_GB2312" w:hAnsi="仿宋_GB2312" w:eastAsia="仿宋_GB2312" w:cs="仿宋_GB2312"/>
          <w:color w:val="auto"/>
          <w:szCs w:val="24"/>
          <w:highlight w:val="none"/>
          <w:lang w:val="zh-CN"/>
        </w:rPr>
        <w:t>年</w:t>
      </w:r>
      <w:r>
        <w:rPr>
          <w:rFonts w:hint="eastAsia" w:ascii="仿宋_GB2312" w:hAnsi="仿宋_GB2312" w:eastAsia="仿宋_GB2312" w:cs="仿宋_GB2312"/>
          <w:color w:val="auto"/>
          <w:szCs w:val="24"/>
          <w:highlight w:val="none"/>
          <w:lang w:val="en-US" w:eastAsia="zh-CN"/>
        </w:rPr>
        <w:t>8</w:t>
      </w:r>
      <w:r>
        <w:rPr>
          <w:rFonts w:hint="eastAsia" w:ascii="仿宋_GB2312" w:hAnsi="仿宋_GB2312" w:eastAsia="仿宋_GB2312" w:cs="仿宋_GB2312"/>
          <w:color w:val="auto"/>
          <w:szCs w:val="24"/>
          <w:highlight w:val="none"/>
          <w:lang w:val="zh-CN"/>
        </w:rPr>
        <w:t>月</w:t>
      </w:r>
      <w:r>
        <w:rPr>
          <w:rFonts w:hint="eastAsia" w:ascii="仿宋_GB2312" w:hAnsi="仿宋_GB2312" w:eastAsia="仿宋_GB2312" w:cs="仿宋_GB2312"/>
          <w:color w:val="auto"/>
          <w:szCs w:val="24"/>
          <w:highlight w:val="none"/>
          <w:lang w:val="en-US" w:eastAsia="zh-CN"/>
        </w:rPr>
        <w:t>21</w:t>
      </w:r>
      <w:r>
        <w:rPr>
          <w:rFonts w:ascii="仿宋_GB2312" w:hAnsi="仿宋_GB2312" w:eastAsia="仿宋_GB2312" w:cs="仿宋_GB2312"/>
          <w:color w:val="auto"/>
          <w:szCs w:val="24"/>
          <w:highlight w:val="none"/>
          <w:lang w:val="zh-CN"/>
        </w:rPr>
        <w:t>日，每天上午8时30分至11时30分，下午13</w:t>
      </w:r>
      <w:r>
        <w:rPr>
          <w:rFonts w:ascii="仿宋_GB2312" w:hAnsi="仿宋_GB2312" w:eastAsia="仿宋_GB2312" w:cs="仿宋_GB2312"/>
          <w:szCs w:val="24"/>
          <w:highlight w:val="none"/>
          <w:lang w:val="zh-CN"/>
        </w:rPr>
        <w:t>时30分至16时30分（北京时间，节</w:t>
      </w:r>
      <w:r>
        <w:rPr>
          <w:rFonts w:hint="eastAsia" w:ascii="仿宋_GB2312" w:hAnsi="仿宋_GB2312" w:eastAsia="仿宋_GB2312" w:cs="仿宋_GB2312"/>
          <w:bCs/>
          <w:kern w:val="2"/>
          <w:sz w:val="24"/>
          <w:szCs w:val="22"/>
          <w:lang w:val="zh-CN" w:eastAsia="zh-CN" w:bidi="ar-SA"/>
        </w:rPr>
        <w:t>假日除外，下同</w:t>
      </w:r>
      <w:r>
        <w:rPr>
          <w:rFonts w:hint="eastAsia" w:ascii="仿宋_GB2312" w:hAnsi="仿宋_GB2312" w:eastAsia="仿宋_GB2312" w:cs="仿宋_GB2312"/>
          <w:szCs w:val="24"/>
          <w:highlight w:val="none"/>
          <w:lang w:val="zh-CN" w:eastAsia="zh-CN"/>
        </w:rPr>
        <w:t>）；</w:t>
      </w:r>
    </w:p>
    <w:p w14:paraId="2DEF1D67">
      <w:pPr>
        <w:pStyle w:val="2"/>
        <w:adjustRightInd w:val="0"/>
        <w:snapToGrid w:val="0"/>
        <w:spacing w:line="360" w:lineRule="auto"/>
        <w:ind w:firstLine="480" w:firstLineChars="200"/>
        <w:rPr>
          <w:rFonts w:hint="default" w:ascii="仿宋_GB2312" w:hAnsi="仿宋_GB2312" w:eastAsia="仿宋_GB2312" w:cs="仿宋_GB2312"/>
          <w:szCs w:val="24"/>
          <w:highlight w:val="none"/>
          <w:lang w:val="zh-CN" w:eastAsia="zh-CN"/>
        </w:rPr>
      </w:pPr>
      <w:r>
        <w:rPr>
          <w:rFonts w:hint="eastAsia" w:ascii="仿宋_GB2312" w:hAnsi="仿宋_GB2312" w:eastAsia="仿宋_GB2312" w:cs="仿宋_GB2312"/>
          <w:szCs w:val="24"/>
          <w:highlight w:val="none"/>
          <w:lang w:val="en-US" w:eastAsia="zh-CN"/>
        </w:rPr>
        <w:t>方式：</w:t>
      </w:r>
      <w:r>
        <w:rPr>
          <w:rFonts w:hint="default" w:ascii="仿宋_GB2312" w:hAnsi="仿宋_GB2312" w:eastAsia="仿宋_GB2312" w:cs="仿宋_GB2312"/>
          <w:szCs w:val="24"/>
          <w:highlight w:val="none"/>
          <w:lang w:val="zh-CN" w:eastAsia="zh-CN"/>
        </w:rPr>
        <w:t>须提供加盖单位公章的企业或组织合法经营权凭证及法人授权委托书原件（法定代表人自行办理的，须提供本人有效身份证明），至山东省泰安英雄山中学现场领取采购文件；</w:t>
      </w:r>
    </w:p>
    <w:p w14:paraId="78ADB1BE">
      <w:pPr>
        <w:pStyle w:val="2"/>
        <w:adjustRightInd w:val="0"/>
        <w:snapToGrid w:val="0"/>
        <w:spacing w:line="360" w:lineRule="auto"/>
        <w:rPr>
          <w:rFonts w:hint="default" w:ascii="仿宋_GB2312" w:hAnsi="仿宋_GB2312" w:eastAsia="仿宋_GB2312" w:cs="仿宋_GB2312"/>
          <w:color w:val="auto"/>
          <w:szCs w:val="24"/>
          <w:highlight w:val="none"/>
          <w:lang w:val="zh-CN" w:eastAsia="zh-CN"/>
        </w:rPr>
      </w:pPr>
      <w:r>
        <w:rPr>
          <w:rFonts w:hint="eastAsia" w:ascii="仿宋_GB2312" w:hAnsi="仿宋_GB2312" w:eastAsia="仿宋_GB2312" w:cs="仿宋_GB2312"/>
          <w:szCs w:val="24"/>
          <w:highlight w:val="none"/>
          <w:lang w:val="en-US" w:eastAsia="zh-CN"/>
        </w:rPr>
        <w:t>9</w:t>
      </w:r>
      <w:r>
        <w:rPr>
          <w:rFonts w:hint="eastAsia" w:ascii="仿宋_GB2312" w:hAnsi="仿宋_GB2312" w:eastAsia="仿宋_GB2312" w:cs="仿宋_GB2312"/>
          <w:szCs w:val="24"/>
          <w:highlight w:val="none"/>
          <w:lang w:val="zh-CN" w:eastAsia="zh-CN"/>
        </w:rPr>
        <w:t>、响应文件</w:t>
      </w:r>
      <w:r>
        <w:rPr>
          <w:rFonts w:hint="eastAsia" w:ascii="仿宋_GB2312" w:hAnsi="仿宋_GB2312" w:eastAsia="仿宋_GB2312" w:cs="仿宋_GB2312"/>
          <w:color w:val="auto"/>
          <w:szCs w:val="24"/>
          <w:highlight w:val="none"/>
          <w:lang w:val="zh-CN" w:eastAsia="zh-CN"/>
        </w:rPr>
        <w:t>递交时间、截止时间</w:t>
      </w:r>
    </w:p>
    <w:p w14:paraId="5171E5F2">
      <w:pPr>
        <w:tabs>
          <w:tab w:val="left" w:pos="8460"/>
        </w:tabs>
        <w:autoSpaceDE w:val="0"/>
        <w:autoSpaceDN w:val="0"/>
        <w:adjustRightInd w:val="0"/>
        <w:snapToGrid w:val="0"/>
        <w:spacing w:line="360" w:lineRule="auto"/>
        <w:ind w:right="-374"/>
        <w:rPr>
          <w:rFonts w:hint="default" w:ascii="仿宋_GB2312" w:hAnsi="仿宋_GB2312" w:eastAsia="仿宋_GB2312" w:cs="仿宋_GB2312"/>
          <w:kern w:val="2"/>
          <w:sz w:val="24"/>
          <w:szCs w:val="24"/>
          <w:highlight w:val="none"/>
          <w:lang w:val="zh-CN" w:eastAsia="zh-CN" w:bidi="ar-SA"/>
        </w:rPr>
      </w:pPr>
      <w:r>
        <w:rPr>
          <w:rFonts w:hint="default" w:ascii="仿宋_GB2312" w:hAnsi="楷体" w:eastAsia="仿宋_GB2312"/>
          <w:color w:val="auto"/>
          <w:sz w:val="24"/>
          <w:szCs w:val="24"/>
          <w:highlight w:val="none"/>
          <w:lang w:val="zh-CN"/>
        </w:rPr>
        <w:t>（</w:t>
      </w:r>
      <w:r>
        <w:rPr>
          <w:rFonts w:ascii="仿宋_GB2312" w:hAnsi="楷体" w:eastAsia="仿宋_GB2312"/>
          <w:color w:val="auto"/>
          <w:sz w:val="24"/>
          <w:szCs w:val="24"/>
          <w:highlight w:val="none"/>
          <w:lang w:val="zh-CN"/>
        </w:rPr>
        <w:t>1）递交</w:t>
      </w:r>
      <w:r>
        <w:rPr>
          <w:rFonts w:ascii="仿宋_GB2312" w:hAnsi="仿宋" w:eastAsia="仿宋_GB2312"/>
          <w:color w:val="auto"/>
          <w:sz w:val="24"/>
          <w:szCs w:val="24"/>
          <w:highlight w:val="none"/>
          <w:lang w:val="zh-CN"/>
        </w:rPr>
        <w:t>时间</w:t>
      </w:r>
      <w:r>
        <w:rPr>
          <w:rFonts w:hint="eastAsia" w:ascii="仿宋_GB2312" w:hAnsi="仿宋_GB2312" w:eastAsia="仿宋_GB2312" w:cs="仿宋_GB2312"/>
          <w:color w:val="auto"/>
          <w:kern w:val="2"/>
          <w:sz w:val="24"/>
          <w:szCs w:val="24"/>
          <w:highlight w:val="none"/>
          <w:lang w:val="zh-CN" w:eastAsia="zh-CN" w:bidi="ar-SA"/>
        </w:rPr>
        <w:t>：</w:t>
      </w:r>
      <w:r>
        <w:rPr>
          <w:rFonts w:hint="eastAsia" w:ascii="仿宋_GB2312" w:hAnsi="仿宋_GB2312" w:eastAsia="仿宋_GB2312" w:cs="仿宋_GB2312"/>
          <w:color w:val="auto"/>
          <w:kern w:val="2"/>
          <w:sz w:val="24"/>
          <w:szCs w:val="24"/>
          <w:highlight w:val="none"/>
          <w:lang w:val="en-US" w:eastAsia="zh-CN" w:bidi="ar-SA"/>
        </w:rPr>
        <w:t>2026</w:t>
      </w:r>
      <w:r>
        <w:rPr>
          <w:rFonts w:hint="eastAsia" w:ascii="仿宋_GB2312" w:hAnsi="仿宋_GB2312" w:eastAsia="仿宋_GB2312" w:cs="仿宋_GB2312"/>
          <w:kern w:val="2"/>
          <w:sz w:val="24"/>
          <w:szCs w:val="24"/>
          <w:highlight w:val="none"/>
          <w:lang w:val="zh-CN" w:eastAsia="zh-CN" w:bidi="ar-SA"/>
        </w:rPr>
        <w:t>年</w:t>
      </w:r>
      <w:r>
        <w:rPr>
          <w:rFonts w:hint="eastAsia" w:ascii="仿宋_GB2312" w:hAnsi="仿宋_GB2312" w:eastAsia="仿宋_GB2312" w:cs="仿宋_GB2312"/>
          <w:kern w:val="2"/>
          <w:sz w:val="24"/>
          <w:szCs w:val="24"/>
          <w:highlight w:val="none"/>
          <w:lang w:val="en-US" w:eastAsia="zh-CN" w:bidi="ar-SA"/>
        </w:rPr>
        <w:t>8</w:t>
      </w:r>
      <w:r>
        <w:rPr>
          <w:rFonts w:hint="eastAsia" w:ascii="仿宋_GB2312" w:hAnsi="仿宋_GB2312" w:eastAsia="仿宋_GB2312" w:cs="仿宋_GB2312"/>
          <w:kern w:val="2"/>
          <w:sz w:val="24"/>
          <w:szCs w:val="24"/>
          <w:highlight w:val="none"/>
          <w:lang w:val="zh-CN" w:eastAsia="zh-CN" w:bidi="ar-SA"/>
        </w:rPr>
        <w:t>月</w:t>
      </w:r>
      <w:r>
        <w:rPr>
          <w:rFonts w:hint="eastAsia" w:ascii="仿宋_GB2312" w:hAnsi="仿宋_GB2312" w:eastAsia="仿宋_GB2312" w:cs="仿宋_GB2312"/>
          <w:kern w:val="2"/>
          <w:sz w:val="24"/>
          <w:szCs w:val="24"/>
          <w:highlight w:val="none"/>
          <w:lang w:val="en-US" w:eastAsia="zh-CN" w:bidi="ar-SA"/>
        </w:rPr>
        <w:t>24</w:t>
      </w:r>
      <w:r>
        <w:rPr>
          <w:rFonts w:hint="eastAsia" w:ascii="仿宋_GB2312" w:hAnsi="仿宋_GB2312" w:eastAsia="仿宋_GB2312" w:cs="仿宋_GB2312"/>
          <w:kern w:val="2"/>
          <w:sz w:val="24"/>
          <w:szCs w:val="24"/>
          <w:highlight w:val="none"/>
          <w:lang w:val="zh-CN" w:eastAsia="zh-CN" w:bidi="ar-SA"/>
        </w:rPr>
        <w:t>日0</w:t>
      </w:r>
      <w:r>
        <w:rPr>
          <w:rFonts w:hint="default" w:ascii="仿宋_GB2312" w:hAnsi="仿宋_GB2312" w:eastAsia="仿宋_GB2312" w:cs="仿宋_GB2312"/>
          <w:kern w:val="2"/>
          <w:sz w:val="24"/>
          <w:szCs w:val="24"/>
          <w:highlight w:val="none"/>
          <w:lang w:val="en-US" w:eastAsia="zh-CN" w:bidi="ar-SA"/>
        </w:rPr>
        <w:t>8</w:t>
      </w:r>
      <w:r>
        <w:rPr>
          <w:rFonts w:hint="eastAsia" w:ascii="仿宋_GB2312" w:hAnsi="仿宋_GB2312" w:eastAsia="仿宋_GB2312" w:cs="仿宋_GB2312"/>
          <w:kern w:val="2"/>
          <w:sz w:val="24"/>
          <w:szCs w:val="24"/>
          <w:highlight w:val="none"/>
          <w:lang w:val="zh-CN" w:eastAsia="zh-CN" w:bidi="ar-SA"/>
        </w:rPr>
        <w:t>时</w:t>
      </w:r>
      <w:r>
        <w:rPr>
          <w:rFonts w:hint="eastAsia" w:ascii="仿宋_GB2312" w:hAnsi="仿宋_GB2312" w:eastAsia="仿宋_GB2312" w:cs="仿宋_GB2312"/>
          <w:kern w:val="2"/>
          <w:sz w:val="24"/>
          <w:szCs w:val="24"/>
          <w:highlight w:val="none"/>
          <w:lang w:val="en-US" w:eastAsia="zh-CN" w:bidi="ar-SA"/>
        </w:rPr>
        <w:t>3</w:t>
      </w:r>
      <w:r>
        <w:rPr>
          <w:rFonts w:hint="eastAsia" w:ascii="仿宋_GB2312" w:hAnsi="仿宋_GB2312" w:eastAsia="仿宋_GB2312" w:cs="仿宋_GB2312"/>
          <w:kern w:val="2"/>
          <w:sz w:val="24"/>
          <w:szCs w:val="24"/>
          <w:highlight w:val="none"/>
          <w:lang w:val="zh-CN" w:eastAsia="zh-CN" w:bidi="ar-SA"/>
        </w:rPr>
        <w:t>0分起至</w:t>
      </w:r>
      <w:r>
        <w:rPr>
          <w:rFonts w:hint="default" w:ascii="仿宋_GB2312" w:hAnsi="仿宋_GB2312" w:eastAsia="仿宋_GB2312" w:cs="仿宋_GB2312"/>
          <w:kern w:val="2"/>
          <w:sz w:val="24"/>
          <w:szCs w:val="24"/>
          <w:highlight w:val="none"/>
          <w:lang w:val="zh-CN" w:eastAsia="zh-CN" w:bidi="ar-SA"/>
        </w:rPr>
        <w:t>09</w:t>
      </w:r>
      <w:r>
        <w:rPr>
          <w:rFonts w:hint="eastAsia" w:ascii="仿宋_GB2312" w:hAnsi="仿宋_GB2312" w:eastAsia="仿宋_GB2312" w:cs="仿宋_GB2312"/>
          <w:kern w:val="2"/>
          <w:sz w:val="24"/>
          <w:szCs w:val="24"/>
          <w:highlight w:val="none"/>
          <w:lang w:val="zh-CN" w:eastAsia="zh-CN" w:bidi="ar-SA"/>
        </w:rPr>
        <w:t>时</w:t>
      </w:r>
      <w:r>
        <w:rPr>
          <w:rFonts w:hint="eastAsia" w:ascii="仿宋_GB2312" w:hAnsi="仿宋_GB2312" w:eastAsia="仿宋_GB2312" w:cs="仿宋_GB2312"/>
          <w:kern w:val="2"/>
          <w:sz w:val="24"/>
          <w:szCs w:val="24"/>
          <w:highlight w:val="none"/>
          <w:lang w:val="en-US" w:eastAsia="zh-CN" w:bidi="ar-SA"/>
        </w:rPr>
        <w:t>3</w:t>
      </w:r>
      <w:r>
        <w:rPr>
          <w:rFonts w:hint="eastAsia" w:ascii="仿宋_GB2312" w:hAnsi="仿宋_GB2312" w:eastAsia="仿宋_GB2312" w:cs="仿宋_GB2312"/>
          <w:kern w:val="2"/>
          <w:sz w:val="24"/>
          <w:szCs w:val="24"/>
          <w:highlight w:val="none"/>
          <w:lang w:val="zh-CN" w:eastAsia="zh-CN" w:bidi="ar-SA"/>
        </w:rPr>
        <w:t>0分止；</w:t>
      </w:r>
    </w:p>
    <w:p w14:paraId="7A5B04B3">
      <w:pPr>
        <w:tabs>
          <w:tab w:val="left" w:pos="8460"/>
        </w:tabs>
        <w:autoSpaceDE w:val="0"/>
        <w:autoSpaceDN w:val="0"/>
        <w:adjustRightInd w:val="0"/>
        <w:snapToGrid w:val="0"/>
        <w:spacing w:line="360" w:lineRule="auto"/>
        <w:ind w:right="-374"/>
        <w:rPr>
          <w:rFonts w:hint="eastAsia" w:ascii="仿宋_GB2312" w:hAnsi="仿宋_GB2312" w:eastAsia="仿宋_GB2312" w:cs="仿宋_GB2312"/>
          <w:kern w:val="2"/>
          <w:sz w:val="24"/>
          <w:szCs w:val="24"/>
          <w:highlight w:val="none"/>
          <w:lang w:val="zh-CN" w:eastAsia="zh-CN" w:bidi="ar-SA"/>
        </w:rPr>
      </w:pPr>
      <w:r>
        <w:rPr>
          <w:rFonts w:hint="default" w:ascii="仿宋_GB2312" w:hAnsi="仿宋_GB2312" w:eastAsia="仿宋_GB2312" w:cs="仿宋_GB2312"/>
          <w:kern w:val="2"/>
          <w:sz w:val="24"/>
          <w:szCs w:val="24"/>
          <w:highlight w:val="none"/>
          <w:lang w:val="zh-CN" w:eastAsia="zh-CN" w:bidi="ar-SA"/>
        </w:rPr>
        <w:t>（</w:t>
      </w:r>
      <w:r>
        <w:rPr>
          <w:rFonts w:hint="eastAsia" w:ascii="仿宋_GB2312" w:hAnsi="仿宋_GB2312" w:eastAsia="仿宋_GB2312" w:cs="仿宋_GB2312"/>
          <w:kern w:val="2"/>
          <w:sz w:val="24"/>
          <w:szCs w:val="24"/>
          <w:highlight w:val="none"/>
          <w:lang w:val="zh-CN" w:eastAsia="zh-CN" w:bidi="ar-SA"/>
        </w:rPr>
        <w:t>2）截止时间：2026年</w:t>
      </w:r>
      <w:r>
        <w:rPr>
          <w:rFonts w:hint="eastAsia" w:ascii="仿宋_GB2312" w:hAnsi="仿宋_GB2312" w:eastAsia="仿宋_GB2312" w:cs="仿宋_GB2312"/>
          <w:kern w:val="2"/>
          <w:sz w:val="24"/>
          <w:szCs w:val="24"/>
          <w:highlight w:val="none"/>
          <w:lang w:val="en-US" w:eastAsia="zh-CN" w:bidi="ar-SA"/>
        </w:rPr>
        <w:t>8</w:t>
      </w:r>
      <w:r>
        <w:rPr>
          <w:rFonts w:hint="eastAsia" w:ascii="仿宋_GB2312" w:hAnsi="仿宋_GB2312" w:eastAsia="仿宋_GB2312" w:cs="仿宋_GB2312"/>
          <w:kern w:val="2"/>
          <w:sz w:val="24"/>
          <w:szCs w:val="24"/>
          <w:highlight w:val="none"/>
          <w:lang w:val="zh-CN" w:eastAsia="zh-CN" w:bidi="ar-SA"/>
        </w:rPr>
        <w:t>月</w:t>
      </w:r>
      <w:r>
        <w:rPr>
          <w:rFonts w:hint="eastAsia" w:ascii="仿宋_GB2312" w:hAnsi="仿宋_GB2312" w:eastAsia="仿宋_GB2312" w:cs="仿宋_GB2312"/>
          <w:kern w:val="2"/>
          <w:sz w:val="24"/>
          <w:szCs w:val="24"/>
          <w:highlight w:val="none"/>
          <w:lang w:val="en-US" w:eastAsia="zh-CN" w:bidi="ar-SA"/>
        </w:rPr>
        <w:t>24</w:t>
      </w:r>
      <w:r>
        <w:rPr>
          <w:rFonts w:hint="eastAsia" w:ascii="仿宋_GB2312" w:hAnsi="仿宋_GB2312" w:eastAsia="仿宋_GB2312" w:cs="仿宋_GB2312"/>
          <w:kern w:val="2"/>
          <w:sz w:val="24"/>
          <w:szCs w:val="24"/>
          <w:highlight w:val="none"/>
          <w:lang w:val="zh-CN" w:eastAsia="zh-CN" w:bidi="ar-SA"/>
        </w:rPr>
        <w:t>日</w:t>
      </w:r>
      <w:r>
        <w:rPr>
          <w:rFonts w:hint="default" w:ascii="仿宋_GB2312" w:hAnsi="仿宋_GB2312" w:eastAsia="仿宋_GB2312" w:cs="仿宋_GB2312"/>
          <w:kern w:val="2"/>
          <w:sz w:val="24"/>
          <w:szCs w:val="24"/>
          <w:highlight w:val="none"/>
          <w:lang w:val="en-US" w:eastAsia="zh-CN" w:bidi="ar-SA"/>
        </w:rPr>
        <w:t>09</w:t>
      </w:r>
      <w:r>
        <w:rPr>
          <w:rFonts w:hint="eastAsia" w:ascii="仿宋_GB2312" w:hAnsi="仿宋_GB2312" w:eastAsia="仿宋_GB2312" w:cs="仿宋_GB2312"/>
          <w:kern w:val="2"/>
          <w:sz w:val="24"/>
          <w:szCs w:val="24"/>
          <w:highlight w:val="none"/>
          <w:lang w:val="zh-CN" w:eastAsia="zh-CN" w:bidi="ar-SA"/>
        </w:rPr>
        <w:t>时</w:t>
      </w:r>
      <w:r>
        <w:rPr>
          <w:rFonts w:hint="eastAsia" w:ascii="仿宋_GB2312" w:hAnsi="仿宋_GB2312" w:eastAsia="仿宋_GB2312" w:cs="仿宋_GB2312"/>
          <w:kern w:val="2"/>
          <w:sz w:val="24"/>
          <w:szCs w:val="24"/>
          <w:highlight w:val="none"/>
          <w:lang w:val="en-US" w:eastAsia="zh-CN" w:bidi="ar-SA"/>
        </w:rPr>
        <w:t>3</w:t>
      </w:r>
      <w:r>
        <w:rPr>
          <w:rFonts w:hint="eastAsia" w:ascii="仿宋_GB2312" w:hAnsi="仿宋_GB2312" w:eastAsia="仿宋_GB2312" w:cs="仿宋_GB2312"/>
          <w:kern w:val="2"/>
          <w:sz w:val="24"/>
          <w:szCs w:val="24"/>
          <w:highlight w:val="none"/>
          <w:lang w:val="zh-CN" w:eastAsia="zh-CN" w:bidi="ar-SA"/>
        </w:rPr>
        <w:t>0分；</w:t>
      </w:r>
    </w:p>
    <w:p w14:paraId="57C94D04">
      <w:pPr>
        <w:spacing w:line="360" w:lineRule="auto"/>
        <w:rPr>
          <w:rFonts w:hint="default" w:ascii="仿宋_GB2312" w:hAnsi="仿宋_GB2312" w:eastAsia="仿宋_GB2312" w:cs="仿宋_GB2312"/>
          <w:kern w:val="2"/>
          <w:sz w:val="24"/>
          <w:szCs w:val="24"/>
          <w:highlight w:val="none"/>
          <w:lang w:val="zh-CN" w:eastAsia="zh-CN" w:bidi="ar-SA"/>
        </w:rPr>
      </w:pPr>
      <w:r>
        <w:rPr>
          <w:rFonts w:hint="default" w:ascii="仿宋_GB2312" w:hAnsi="仿宋_GB2312" w:eastAsia="仿宋_GB2312" w:cs="仿宋_GB2312"/>
          <w:kern w:val="2"/>
          <w:sz w:val="24"/>
          <w:szCs w:val="24"/>
          <w:highlight w:val="none"/>
          <w:lang w:val="zh-CN" w:eastAsia="zh-CN" w:bidi="ar-SA"/>
        </w:rPr>
        <w:t>（3）递交地点及地址：</w:t>
      </w:r>
      <w:r>
        <w:rPr>
          <w:rFonts w:hint="eastAsia" w:ascii="仿宋_GB2312" w:hAnsi="仿宋_GB2312" w:eastAsia="仿宋_GB2312" w:cs="仿宋_GB2312"/>
          <w:kern w:val="2"/>
          <w:sz w:val="24"/>
          <w:szCs w:val="24"/>
          <w:highlight w:val="none"/>
          <w:lang w:val="zh-CN" w:eastAsia="zh-CN" w:bidi="ar-SA"/>
        </w:rPr>
        <w:t>山东省泰安英雄山中学</w:t>
      </w:r>
      <w:r>
        <w:rPr>
          <w:rFonts w:hint="eastAsia" w:ascii="仿宋_GB2312" w:hAnsi="仿宋_GB2312" w:eastAsia="仿宋_GB2312" w:cs="仿宋_GB2312"/>
          <w:kern w:val="2"/>
          <w:sz w:val="24"/>
          <w:szCs w:val="24"/>
          <w:highlight w:val="none"/>
          <w:lang w:val="en-US" w:eastAsia="zh-CN" w:bidi="ar-SA"/>
        </w:rPr>
        <w:t>财务室</w:t>
      </w:r>
    </w:p>
    <w:p w14:paraId="2BECDE67">
      <w:pPr>
        <w:tabs>
          <w:tab w:val="left" w:pos="8460"/>
        </w:tabs>
        <w:autoSpaceDE w:val="0"/>
        <w:autoSpaceDN w:val="0"/>
        <w:adjustRightInd w:val="0"/>
        <w:snapToGrid w:val="0"/>
        <w:spacing w:line="360" w:lineRule="auto"/>
        <w:ind w:right="-374"/>
        <w:rPr>
          <w:rFonts w:hint="default" w:ascii="仿宋_GB2312" w:hAnsi="仿宋" w:eastAsia="仿宋_GB2312"/>
          <w:sz w:val="24"/>
          <w:szCs w:val="24"/>
          <w:highlight w:val="none"/>
          <w:lang w:val="zh-CN"/>
        </w:rPr>
      </w:pPr>
      <w:r>
        <w:rPr>
          <w:rFonts w:ascii="仿宋_GB2312" w:hAnsi="仿宋" w:eastAsia="仿宋_GB2312"/>
          <w:sz w:val="24"/>
          <w:szCs w:val="24"/>
          <w:highlight w:val="none"/>
          <w:lang w:val="zh-CN"/>
        </w:rPr>
        <w:t>1</w:t>
      </w:r>
      <w:r>
        <w:rPr>
          <w:rFonts w:hint="eastAsia" w:ascii="仿宋_GB2312" w:hAnsi="仿宋" w:eastAsia="仿宋_GB2312"/>
          <w:sz w:val="24"/>
          <w:szCs w:val="24"/>
          <w:highlight w:val="none"/>
          <w:lang w:val="en-US" w:eastAsia="zh-CN"/>
        </w:rPr>
        <w:t>0</w:t>
      </w:r>
      <w:r>
        <w:rPr>
          <w:rFonts w:ascii="仿宋_GB2312" w:hAnsi="仿宋" w:eastAsia="仿宋_GB2312"/>
          <w:sz w:val="24"/>
          <w:szCs w:val="24"/>
          <w:highlight w:val="none"/>
          <w:lang w:val="zh-CN"/>
        </w:rPr>
        <w:t>、联系方式</w:t>
      </w:r>
      <w:bookmarkStart w:id="5" w:name="_GoBack"/>
      <w:bookmarkEnd w:id="5"/>
    </w:p>
    <w:p w14:paraId="346343C8">
      <w:pPr>
        <w:tabs>
          <w:tab w:val="left" w:pos="8460"/>
        </w:tabs>
        <w:autoSpaceDE w:val="0"/>
        <w:autoSpaceDN w:val="0"/>
        <w:adjustRightInd w:val="0"/>
        <w:snapToGrid w:val="0"/>
        <w:spacing w:line="360" w:lineRule="auto"/>
        <w:ind w:right="-374" w:firstLine="480" w:firstLineChars="200"/>
        <w:rPr>
          <w:rFonts w:hint="default" w:ascii="仿宋_GB2312" w:hAnsi="仿宋" w:eastAsia="仿宋_GB2312"/>
          <w:sz w:val="24"/>
          <w:szCs w:val="24"/>
          <w:highlight w:val="none"/>
          <w:lang w:val="zh-CN" w:eastAsia="zh-CN"/>
        </w:rPr>
      </w:pPr>
      <w:r>
        <w:rPr>
          <w:rFonts w:hint="default" w:ascii="仿宋_GB2312" w:hAnsi="仿宋" w:eastAsia="仿宋_GB2312"/>
          <w:sz w:val="24"/>
          <w:szCs w:val="24"/>
          <w:highlight w:val="none"/>
          <w:lang w:val="zh-CN" w:eastAsia="zh-CN"/>
        </w:rPr>
        <w:t>名称：山东省泰安英雄山中学</w:t>
      </w:r>
    </w:p>
    <w:p w14:paraId="16140729">
      <w:pPr>
        <w:tabs>
          <w:tab w:val="left" w:pos="8460"/>
        </w:tabs>
        <w:autoSpaceDE w:val="0"/>
        <w:autoSpaceDN w:val="0"/>
        <w:adjustRightInd w:val="0"/>
        <w:snapToGrid w:val="0"/>
        <w:spacing w:line="360" w:lineRule="auto"/>
        <w:ind w:right="-374" w:firstLine="480" w:firstLineChars="200"/>
        <w:rPr>
          <w:rFonts w:hint="default" w:ascii="仿宋_GB2312" w:hAnsi="仿宋" w:eastAsia="仿宋_GB2312"/>
          <w:sz w:val="24"/>
          <w:szCs w:val="24"/>
          <w:highlight w:val="none"/>
          <w:lang w:val="zh-CN" w:eastAsia="zh-CN"/>
        </w:rPr>
      </w:pPr>
      <w:r>
        <w:rPr>
          <w:rFonts w:hint="default" w:ascii="仿宋_GB2312" w:hAnsi="仿宋" w:eastAsia="仿宋_GB2312"/>
          <w:sz w:val="24"/>
          <w:szCs w:val="24"/>
          <w:highlight w:val="none"/>
          <w:lang w:val="zh-CN" w:eastAsia="zh-CN"/>
        </w:rPr>
        <w:t>地址：泰安市英才街11号</w:t>
      </w:r>
    </w:p>
    <w:p w14:paraId="01181C20">
      <w:pPr>
        <w:ind w:firstLine="480" w:firstLineChars="200"/>
        <w:rPr>
          <w:rFonts w:hint="default"/>
          <w:lang w:val="en-US"/>
        </w:rPr>
      </w:pPr>
      <w:r>
        <w:rPr>
          <w:rFonts w:hint="default" w:ascii="仿宋_GB2312" w:hAnsi="仿宋" w:eastAsia="仿宋_GB2312"/>
          <w:sz w:val="24"/>
          <w:szCs w:val="24"/>
          <w:highlight w:val="none"/>
          <w:lang w:val="zh-CN" w:eastAsia="zh-CN"/>
        </w:rPr>
        <w:t>联系方式：0538-8565689</w:t>
      </w:r>
      <w:r>
        <w:rPr>
          <w:rFonts w:hint="eastAsia" w:ascii="仿宋_GB2312" w:hAnsi="仿宋" w:eastAsia="仿宋_GB2312"/>
          <w:sz w:val="24"/>
          <w:szCs w:val="24"/>
          <w:highlight w:val="none"/>
          <w:lang w:val="zh-CN" w:eastAsia="zh-CN"/>
        </w:rPr>
        <w:t>；</w:t>
      </w:r>
      <w:r>
        <w:rPr>
          <w:rFonts w:hint="eastAsia" w:ascii="仿宋_GB2312" w:hAnsi="仿宋" w:eastAsia="仿宋_GB2312"/>
          <w:sz w:val="24"/>
          <w:szCs w:val="24"/>
          <w:highlight w:val="none"/>
          <w:lang w:val="en-US" w:eastAsia="zh-CN"/>
        </w:rPr>
        <w:t>13002770611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6D41E3"/>
    <w:rsid w:val="06E2033B"/>
    <w:rsid w:val="442634B8"/>
    <w:rsid w:val="48D96D31"/>
    <w:rsid w:val="716D41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rPr>
      <w:rFonts w:ascii="Arial" w:hAnsi="Arial"/>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715</Words>
  <Characters>761</Characters>
  <Lines>0</Lines>
  <Paragraphs>0</Paragraphs>
  <TotalTime>7</TotalTime>
  <ScaleCrop>false</ScaleCrop>
  <LinksUpToDate>false</LinksUpToDate>
  <CharactersWithSpaces>761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2026-07-31T08:12:00Z</dcterms:created>
  <dc:creator>pc</dc:creator>
  <cp:lastModifiedBy>pc</cp:lastModifiedBy>
  <dcterms:modified xsi:type="dcterms:W3CDTF">2026-08-18T09:30:52Z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43C0D3B6F62F4FDBAB77619BBE04AFA3_13</vt:lpwstr>
  </property>
  <property fmtid="{D5CDD505-2E9C-101B-9397-08002B2CF9AE}" pid="4" name="KSOTemplateDocerSaveRecord">
    <vt:lpwstr>eyJoZGlkIjoiMjZmYmYxYTg0Mzg4YWFmMTEzYzU1NGFiYzkyZmQ2NjkiLCJ1c2VySWQiOiI3NzM1MDM0MjYifQ==</vt:lpwstr>
  </property>
</Properties>
</file>