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D3513">
      <w:pPr>
        <w:overflowPunct w:val="0"/>
        <w:autoSpaceDE w:val="0"/>
        <w:autoSpaceDN w:val="0"/>
        <w:adjustRightInd w:val="0"/>
        <w:snapToGrid w:val="0"/>
        <w:spacing w:line="360" w:lineRule="auto"/>
        <w:jc w:val="center"/>
        <w:rPr>
          <w:rFonts w:hint="eastAsia" w:ascii="黑体" w:hAnsi="黑体" w:eastAsia="黑体"/>
          <w:sz w:val="36"/>
          <w:szCs w:val="36"/>
        </w:rPr>
      </w:pPr>
      <w:bookmarkStart w:id="0" w:name="OLE_LINK1"/>
      <w:r>
        <w:rPr>
          <w:rFonts w:hint="eastAsia" w:ascii="黑体" w:hAnsi="黑体" w:eastAsia="黑体"/>
          <w:sz w:val="36"/>
          <w:szCs w:val="36"/>
          <w:lang w:val="en-US" w:eastAsia="zh-CN"/>
        </w:rPr>
        <w:t>山东省泰安英雄山中学新生军训承训官兵社会化保障服务项目</w:t>
      </w:r>
    </w:p>
    <w:p w14:paraId="6216AAA4">
      <w:pPr>
        <w:overflowPunct w:val="0"/>
        <w:autoSpaceDE w:val="0"/>
        <w:autoSpaceDN w:val="0"/>
        <w:adjustRightInd w:val="0"/>
        <w:snapToGrid w:val="0"/>
        <w:spacing w:line="360" w:lineRule="auto"/>
        <w:jc w:val="center"/>
        <w:rPr>
          <w:rFonts w:hint="eastAsia" w:ascii="黑体" w:hAnsi="黑体" w:eastAsia="黑体"/>
          <w:sz w:val="36"/>
          <w:szCs w:val="36"/>
          <w:lang w:val="zh-CN"/>
        </w:rPr>
      </w:pPr>
      <w:r>
        <w:rPr>
          <w:rFonts w:hint="eastAsia" w:ascii="黑体" w:hAnsi="黑体" w:eastAsia="黑体"/>
          <w:sz w:val="36"/>
          <w:szCs w:val="36"/>
        </w:rPr>
        <w:t>成交结果</w:t>
      </w:r>
      <w:r>
        <w:rPr>
          <w:rFonts w:hint="eastAsia" w:ascii="黑体" w:hAnsi="黑体" w:eastAsia="黑体"/>
          <w:sz w:val="36"/>
          <w:szCs w:val="36"/>
          <w:lang w:val="zh-CN"/>
        </w:rPr>
        <w:t>公告</w:t>
      </w:r>
    </w:p>
    <w:p w14:paraId="2EB27148">
      <w:pPr>
        <w:pStyle w:val="17"/>
      </w:pPr>
    </w:p>
    <w:p w14:paraId="659BCF64">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sz w:val="28"/>
          <w:szCs w:val="28"/>
          <w:highlight w:val="none"/>
          <w:lang w:val="zh-CN" w:eastAsia="zh-CN"/>
        </w:rPr>
      </w:pPr>
      <w:r>
        <w:rPr>
          <w:rFonts w:hint="eastAsia" w:ascii="黑体" w:hAnsi="黑体" w:eastAsia="黑体"/>
          <w:sz w:val="28"/>
          <w:szCs w:val="28"/>
        </w:rPr>
        <w:t>一</w:t>
      </w:r>
      <w:r>
        <w:rPr>
          <w:rFonts w:ascii="黑体" w:hAnsi="黑体" w:eastAsia="黑体"/>
          <w:sz w:val="28"/>
          <w:szCs w:val="28"/>
        </w:rPr>
        <w:t>、</w:t>
      </w:r>
      <w:r>
        <w:rPr>
          <w:rFonts w:hint="eastAsia" w:ascii="黑体" w:hAnsi="黑体" w:eastAsia="黑体"/>
          <w:sz w:val="28"/>
          <w:szCs w:val="28"/>
        </w:rPr>
        <w:t>项目编号：</w:t>
      </w:r>
      <w:r>
        <w:rPr>
          <w:rFonts w:hint="eastAsia" w:ascii="仿宋" w:hAnsi="仿宋" w:eastAsia="仿宋"/>
          <w:sz w:val="28"/>
          <w:szCs w:val="28"/>
          <w:highlight w:val="none"/>
          <w:lang w:val="en-US" w:eastAsia="zh-CN"/>
        </w:rPr>
        <w:t>SDSYCG2026-07-59</w:t>
      </w:r>
    </w:p>
    <w:p w14:paraId="0312BE67">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sz w:val="28"/>
          <w:szCs w:val="28"/>
          <w:highlight w:val="none"/>
          <w:lang w:val="zh-CN" w:eastAsia="zh-CN"/>
        </w:rPr>
      </w:pPr>
      <w:r>
        <w:rPr>
          <w:rFonts w:hint="eastAsia" w:ascii="黑体" w:hAnsi="黑体" w:eastAsia="黑体"/>
          <w:sz w:val="28"/>
          <w:szCs w:val="28"/>
        </w:rPr>
        <w:t>二</w:t>
      </w:r>
      <w:r>
        <w:rPr>
          <w:rFonts w:ascii="黑体" w:hAnsi="黑体" w:eastAsia="黑体"/>
          <w:sz w:val="28"/>
          <w:szCs w:val="28"/>
        </w:rPr>
        <w:t>、</w:t>
      </w:r>
      <w:r>
        <w:rPr>
          <w:rFonts w:hint="eastAsia" w:ascii="黑体" w:hAnsi="黑体" w:eastAsia="黑体"/>
          <w:sz w:val="28"/>
          <w:szCs w:val="28"/>
        </w:rPr>
        <w:t>项目名称：</w:t>
      </w:r>
      <w:r>
        <w:rPr>
          <w:rFonts w:hint="eastAsia" w:ascii="仿宋" w:hAnsi="仿宋" w:eastAsia="仿宋"/>
          <w:sz w:val="28"/>
          <w:szCs w:val="28"/>
          <w:highlight w:val="none"/>
          <w:lang w:val="en-US" w:eastAsia="zh-CN"/>
        </w:rPr>
        <w:t>山东省泰安英雄山中学新生军训承训官兵社会化保障服务项目</w:t>
      </w:r>
    </w:p>
    <w:p w14:paraId="0234E33F">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sz w:val="28"/>
          <w:szCs w:val="28"/>
          <w:highlight w:val="none"/>
        </w:rPr>
      </w:pPr>
      <w:r>
        <w:rPr>
          <w:rFonts w:hint="eastAsia" w:ascii="黑体" w:hAnsi="黑体" w:eastAsia="黑体"/>
          <w:sz w:val="28"/>
          <w:szCs w:val="28"/>
        </w:rPr>
        <w:t>三、成交</w:t>
      </w:r>
      <w:r>
        <w:rPr>
          <w:rFonts w:hint="eastAsia" w:ascii="黑体" w:hAnsi="黑体" w:eastAsia="黑体"/>
          <w:sz w:val="28"/>
          <w:szCs w:val="28"/>
          <w:highlight w:val="none"/>
        </w:rPr>
        <w:t>信息</w:t>
      </w:r>
    </w:p>
    <w:p w14:paraId="169DE565">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供应商名称：</w:t>
      </w:r>
      <w:r>
        <w:rPr>
          <w:rFonts w:hint="eastAsia" w:ascii="仿宋" w:hAnsi="仿宋" w:eastAsia="仿宋"/>
          <w:sz w:val="28"/>
          <w:szCs w:val="28"/>
          <w:highlight w:val="none"/>
          <w:lang w:val="en-US" w:eastAsia="zh-CN"/>
        </w:rPr>
        <w:t>山东省白杨营地教育科技有限公司</w:t>
      </w:r>
    </w:p>
    <w:p w14:paraId="5536300B">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 w:hAnsi="仿宋" w:eastAsia="仿宋"/>
          <w:sz w:val="28"/>
          <w:szCs w:val="28"/>
          <w:highlight w:val="none"/>
          <w:u w:val="none"/>
          <w:lang w:val="en-US" w:eastAsia="zh-CN"/>
        </w:rPr>
      </w:pPr>
      <w:r>
        <w:rPr>
          <w:rFonts w:hint="eastAsia" w:ascii="仿宋" w:hAnsi="仿宋" w:eastAsia="仿宋"/>
          <w:sz w:val="28"/>
          <w:szCs w:val="28"/>
          <w:highlight w:val="none"/>
        </w:rPr>
        <w:t>供应商地</w:t>
      </w:r>
      <w:r>
        <w:rPr>
          <w:rFonts w:hint="eastAsia" w:ascii="仿宋" w:hAnsi="仿宋" w:eastAsia="仿宋"/>
          <w:sz w:val="28"/>
          <w:szCs w:val="28"/>
          <w:highlight w:val="none"/>
          <w:u w:val="none"/>
        </w:rPr>
        <w:t>址：山东省泰安市岱岳区满庄镇泰安大汶口工业园天颐湖旅游度假区园内</w:t>
      </w:r>
    </w:p>
    <w:p w14:paraId="6C64CCF7">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 w:hAnsi="仿宋" w:eastAsia="仿宋"/>
          <w:sz w:val="28"/>
          <w:szCs w:val="28"/>
          <w:highlight w:val="none"/>
          <w:u w:val="none"/>
          <w:lang w:val="en-US" w:eastAsia="zh-CN"/>
        </w:rPr>
      </w:pPr>
      <w:r>
        <w:rPr>
          <w:rFonts w:hint="eastAsia" w:ascii="仿宋" w:hAnsi="仿宋" w:eastAsia="仿宋"/>
          <w:sz w:val="28"/>
          <w:szCs w:val="28"/>
          <w:highlight w:val="none"/>
          <w:u w:val="none"/>
        </w:rPr>
        <w:t>成交金额</w:t>
      </w:r>
      <w:r>
        <w:rPr>
          <w:rFonts w:hint="eastAsia" w:ascii="仿宋" w:hAnsi="仿宋" w:eastAsia="仿宋"/>
          <w:sz w:val="28"/>
          <w:szCs w:val="28"/>
          <w:highlight w:val="none"/>
          <w:u w:val="none"/>
          <w:lang w:eastAsia="zh-CN"/>
        </w:rPr>
        <w:t>：</w:t>
      </w:r>
      <w:r>
        <w:rPr>
          <w:rFonts w:hint="eastAsia" w:ascii="仿宋" w:hAnsi="仿宋" w:eastAsia="仿宋"/>
          <w:sz w:val="28"/>
          <w:szCs w:val="28"/>
          <w:highlight w:val="none"/>
          <w:u w:val="none"/>
          <w:lang w:val="en-US" w:eastAsia="zh-CN"/>
        </w:rPr>
        <w:t>295.00（元/人/天）</w:t>
      </w:r>
    </w:p>
    <w:p w14:paraId="593B0619">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sz w:val="28"/>
          <w:szCs w:val="28"/>
        </w:rPr>
      </w:pPr>
      <w:r>
        <w:rPr>
          <w:rFonts w:hint="eastAsia" w:ascii="黑体" w:hAnsi="黑体" w:eastAsia="黑体"/>
          <w:sz w:val="28"/>
          <w:szCs w:val="28"/>
        </w:rPr>
        <w:t>四、主要标的信息</w:t>
      </w:r>
    </w:p>
    <w:tbl>
      <w:tblPr>
        <w:tblStyle w:val="15"/>
        <w:tblW w:w="9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9"/>
      </w:tblGrid>
      <w:tr w14:paraId="58C7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9" w:type="dxa"/>
          </w:tcPr>
          <w:p w14:paraId="3EFE0C32">
            <w:pPr>
              <w:keepNext w:val="0"/>
              <w:keepLines w:val="0"/>
              <w:pageBreakBefore w:val="0"/>
              <w:widowControl w:val="0"/>
              <w:kinsoku w:val="0"/>
              <w:wordWrap/>
              <w:overflowPunct w:val="0"/>
              <w:topLinePunct w:val="0"/>
              <w:autoSpaceDE w:val="0"/>
              <w:autoSpaceDN w:val="0"/>
              <w:bidi w:val="0"/>
              <w:adjustRightInd w:val="0"/>
              <w:snapToGrid w:val="0"/>
              <w:spacing w:line="360" w:lineRule="auto"/>
              <w:jc w:val="center"/>
              <w:textAlignment w:val="auto"/>
              <w:rPr>
                <w:rFonts w:ascii="仿宋" w:hAnsi="仿宋" w:eastAsia="仿宋"/>
                <w:kern w:val="0"/>
                <w:sz w:val="28"/>
                <w:szCs w:val="28"/>
              </w:rPr>
            </w:pPr>
            <w:r>
              <w:rPr>
                <w:rFonts w:hint="eastAsia" w:ascii="仿宋" w:hAnsi="仿宋" w:eastAsia="仿宋"/>
                <w:kern w:val="0"/>
                <w:sz w:val="28"/>
                <w:szCs w:val="28"/>
                <w:lang w:val="en-US" w:eastAsia="zh-CN"/>
              </w:rPr>
              <w:t>服务</w:t>
            </w:r>
            <w:r>
              <w:rPr>
                <w:rFonts w:hint="eastAsia" w:ascii="仿宋" w:hAnsi="仿宋" w:eastAsia="仿宋"/>
                <w:kern w:val="0"/>
                <w:sz w:val="28"/>
                <w:szCs w:val="28"/>
              </w:rPr>
              <w:t>类</w:t>
            </w:r>
          </w:p>
        </w:tc>
      </w:tr>
      <w:tr w14:paraId="7E83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9" w:type="dxa"/>
          </w:tcPr>
          <w:p w14:paraId="3A7C142A">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仿宋" w:hAnsi="仿宋" w:eastAsia="仿宋"/>
                <w:kern w:val="0"/>
                <w:sz w:val="28"/>
                <w:szCs w:val="28"/>
                <w:highlight w:val="none"/>
              </w:rPr>
            </w:pPr>
            <w:r>
              <w:rPr>
                <w:rFonts w:hint="eastAsia" w:ascii="仿宋" w:hAnsi="仿宋" w:eastAsia="仿宋"/>
                <w:kern w:val="0"/>
                <w:sz w:val="28"/>
                <w:szCs w:val="28"/>
                <w:highlight w:val="none"/>
                <w:lang w:val="en-US" w:eastAsia="zh-CN"/>
              </w:rPr>
              <w:t>项目</w:t>
            </w:r>
            <w:r>
              <w:rPr>
                <w:rFonts w:hint="eastAsia" w:ascii="仿宋" w:hAnsi="仿宋" w:eastAsia="仿宋"/>
                <w:kern w:val="0"/>
                <w:sz w:val="28"/>
                <w:szCs w:val="28"/>
                <w:highlight w:val="none"/>
              </w:rPr>
              <w:t>名称：</w:t>
            </w:r>
            <w:r>
              <w:rPr>
                <w:rFonts w:hint="eastAsia" w:ascii="仿宋" w:hAnsi="仿宋" w:eastAsia="仿宋"/>
                <w:kern w:val="0"/>
                <w:sz w:val="28"/>
                <w:szCs w:val="28"/>
                <w:highlight w:val="none"/>
                <w:lang w:val="en-US" w:eastAsia="zh-CN"/>
              </w:rPr>
              <w:t>山东省泰安英雄山中学新生军训承训官兵社会化保障服务项目</w:t>
            </w:r>
          </w:p>
          <w:p w14:paraId="1C806D2C">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kern w:val="0"/>
                <w:sz w:val="28"/>
                <w:szCs w:val="28"/>
                <w:highlight w:val="none"/>
              </w:rPr>
            </w:pPr>
            <w:r>
              <w:rPr>
                <w:rFonts w:hint="eastAsia" w:ascii="仿宋" w:hAnsi="仿宋" w:eastAsia="仿宋"/>
                <w:kern w:val="0"/>
                <w:sz w:val="28"/>
                <w:szCs w:val="28"/>
                <w:highlight w:val="none"/>
                <w:lang w:eastAsia="zh-CN"/>
              </w:rPr>
              <w:t>采购需求：</w:t>
            </w:r>
            <w:r>
              <w:rPr>
                <w:rFonts w:hint="eastAsia" w:ascii="仿宋" w:hAnsi="仿宋" w:eastAsia="仿宋"/>
                <w:kern w:val="0"/>
                <w:sz w:val="28"/>
                <w:szCs w:val="28"/>
                <w:highlight w:val="none"/>
                <w:lang w:val="en-US" w:eastAsia="zh-CN"/>
              </w:rPr>
              <w:t>本项目为山东省泰安英雄山中学新生军训承训官兵社会化保障与之相关的服务</w:t>
            </w:r>
          </w:p>
          <w:p w14:paraId="003FD17A">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default" w:ascii="仿宋_GB2312" w:hAnsi="仿宋" w:eastAsia="仿宋_GB2312" w:cs="宋体"/>
                <w:color w:val="000000"/>
                <w:kern w:val="2"/>
                <w:sz w:val="28"/>
                <w:szCs w:val="28"/>
                <w:highlight w:val="none"/>
                <w:lang w:val="en-US" w:eastAsia="zh-CN" w:bidi="ar-SA"/>
              </w:rPr>
            </w:pPr>
            <w:r>
              <w:rPr>
                <w:rFonts w:hint="default" w:ascii="仿宋_GB2312" w:hAnsi="仿宋" w:eastAsia="仿宋_GB2312" w:cs="宋体"/>
                <w:color w:val="000000"/>
                <w:kern w:val="2"/>
                <w:sz w:val="28"/>
                <w:szCs w:val="28"/>
                <w:highlight w:val="none"/>
                <w:lang w:val="en-US" w:eastAsia="zh-CN" w:bidi="ar-SA"/>
              </w:rPr>
              <w:t>服务期限：7天，具体时间由采购人根据学校学生实际军训时间天数和承训官兵人数情况调整</w:t>
            </w:r>
          </w:p>
        </w:tc>
      </w:tr>
    </w:tbl>
    <w:p w14:paraId="7C76AB53">
      <w:pPr>
        <w:keepNext w:val="0"/>
        <w:keepLines w:val="0"/>
        <w:pageBreakBefore w:val="0"/>
        <w:widowControl w:val="0"/>
        <w:numPr>
          <w:ilvl w:val="0"/>
          <w:numId w:val="0"/>
        </w:numPr>
        <w:kinsoku/>
        <w:wordWrap w:val="0"/>
        <w:overflowPunct w:val="0"/>
        <w:topLinePunct/>
        <w:autoSpaceDE w:val="0"/>
        <w:autoSpaceDN w:val="0"/>
        <w:bidi w:val="0"/>
        <w:adjustRightInd w:val="0"/>
        <w:snapToGrid w:val="0"/>
        <w:spacing w:line="360" w:lineRule="auto"/>
        <w:textAlignment w:val="auto"/>
        <w:rPr>
          <w:rFonts w:hint="default" w:ascii="仿宋" w:hAnsi="仿宋" w:eastAsia="仿宋" w:cstheme="minorBidi"/>
          <w:kern w:val="0"/>
          <w:sz w:val="28"/>
          <w:szCs w:val="28"/>
          <w:highlight w:val="none"/>
          <w:lang w:val="en-US" w:eastAsia="zh-CN" w:bidi="ar-SA"/>
        </w:rPr>
      </w:pPr>
      <w:r>
        <w:rPr>
          <w:rFonts w:hint="eastAsia" w:ascii="黑体" w:hAnsi="黑体" w:eastAsia="黑体"/>
          <w:sz w:val="28"/>
          <w:szCs w:val="28"/>
          <w:highlight w:val="none"/>
          <w:lang w:eastAsia="zh-CN"/>
        </w:rPr>
        <w:t>五、</w:t>
      </w:r>
      <w:r>
        <w:rPr>
          <w:rFonts w:hint="eastAsia" w:ascii="黑体" w:hAnsi="黑体" w:eastAsia="黑体"/>
          <w:sz w:val="28"/>
          <w:szCs w:val="28"/>
          <w:highlight w:val="none"/>
        </w:rPr>
        <w:t>评审</w:t>
      </w:r>
      <w:r>
        <w:rPr>
          <w:rFonts w:hint="eastAsia" w:ascii="黑体" w:hAnsi="黑体" w:eastAsia="黑体"/>
          <w:sz w:val="28"/>
          <w:szCs w:val="28"/>
          <w:highlight w:val="none"/>
          <w:lang w:val="en-US" w:eastAsia="zh-CN"/>
        </w:rPr>
        <w:t>小组</w:t>
      </w:r>
      <w:r>
        <w:rPr>
          <w:rFonts w:hint="eastAsia" w:ascii="黑体" w:hAnsi="黑体" w:eastAsia="黑体"/>
          <w:sz w:val="28"/>
          <w:szCs w:val="28"/>
          <w:highlight w:val="none"/>
        </w:rPr>
        <w:t>名单：</w:t>
      </w:r>
      <w:r>
        <w:rPr>
          <w:rFonts w:hint="eastAsia" w:ascii="仿宋" w:hAnsi="仿宋" w:eastAsia="仿宋" w:cstheme="minorBidi"/>
          <w:kern w:val="0"/>
          <w:sz w:val="28"/>
          <w:szCs w:val="28"/>
          <w:highlight w:val="none"/>
          <w:lang w:val="en-US" w:eastAsia="zh-CN" w:bidi="ar-SA"/>
        </w:rPr>
        <w:t>刘锐前、吴燕、于晓东。</w:t>
      </w:r>
    </w:p>
    <w:p w14:paraId="1DA96306">
      <w:pPr>
        <w:pStyle w:val="12"/>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jc w:val="both"/>
        <w:textAlignment w:val="auto"/>
        <w:rPr>
          <w:rFonts w:hint="eastAsia" w:ascii="黑体" w:hAnsi="黑体" w:eastAsia="黑体" w:cstheme="minorBidi"/>
          <w:kern w:val="2"/>
          <w:sz w:val="28"/>
          <w:szCs w:val="28"/>
          <w:highlight w:val="none"/>
          <w:lang w:val="en-US" w:eastAsia="zh-CN" w:bidi="ar-SA"/>
        </w:rPr>
      </w:pPr>
      <w:r>
        <w:rPr>
          <w:rFonts w:hint="eastAsia" w:ascii="黑体" w:hAnsi="黑体" w:eastAsia="黑体" w:cstheme="minorBidi"/>
          <w:kern w:val="2"/>
          <w:sz w:val="28"/>
          <w:szCs w:val="28"/>
          <w:highlight w:val="none"/>
          <w:lang w:val="en-US" w:eastAsia="zh-CN" w:bidi="ar-SA"/>
        </w:rPr>
        <w:t>六、公告期限</w:t>
      </w:r>
    </w:p>
    <w:p w14:paraId="57781889">
      <w:pPr>
        <w:pStyle w:val="12"/>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ind w:firstLine="560"/>
        <w:jc w:val="both"/>
        <w:textAlignment w:val="auto"/>
        <w:rPr>
          <w:rFonts w:hint="eastAsia" w:ascii="仿宋" w:hAnsi="仿宋" w:eastAsia="仿宋" w:cstheme="minorBidi"/>
          <w:kern w:val="0"/>
          <w:sz w:val="28"/>
          <w:szCs w:val="28"/>
          <w:highlight w:val="none"/>
          <w:lang w:val="en-US" w:eastAsia="zh-CN" w:bidi="ar-SA"/>
        </w:rPr>
      </w:pPr>
      <w:r>
        <w:rPr>
          <w:rFonts w:hint="eastAsia" w:ascii="仿宋" w:hAnsi="仿宋" w:eastAsia="仿宋" w:cstheme="minorBidi"/>
          <w:kern w:val="0"/>
          <w:sz w:val="28"/>
          <w:szCs w:val="28"/>
          <w:highlight w:val="none"/>
          <w:lang w:val="en-US" w:eastAsia="zh-CN" w:bidi="ar-SA"/>
        </w:rPr>
        <w:t>自本公告发布之日起1个工作日。</w:t>
      </w:r>
    </w:p>
    <w:p w14:paraId="42F69589">
      <w:pPr>
        <w:pStyle w:val="12"/>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jc w:val="both"/>
        <w:textAlignment w:val="auto"/>
        <w:rPr>
          <w:rFonts w:hint="eastAsia" w:ascii="黑体" w:hAnsi="黑体" w:eastAsia="黑体" w:cstheme="minorBidi"/>
          <w:kern w:val="2"/>
          <w:sz w:val="28"/>
          <w:szCs w:val="28"/>
          <w:highlight w:val="none"/>
          <w:lang w:val="en-US" w:eastAsia="zh-CN" w:bidi="ar-SA"/>
        </w:rPr>
      </w:pPr>
      <w:r>
        <w:rPr>
          <w:rFonts w:hint="eastAsia" w:ascii="黑体" w:hAnsi="黑体" w:eastAsia="黑体" w:cstheme="minorBidi"/>
          <w:kern w:val="2"/>
          <w:sz w:val="28"/>
          <w:szCs w:val="28"/>
          <w:highlight w:val="none"/>
          <w:lang w:val="en-US" w:eastAsia="zh-CN" w:bidi="ar-SA"/>
        </w:rPr>
        <w:t>七、其他补充事宜</w:t>
      </w:r>
    </w:p>
    <w:p w14:paraId="6154F4FB">
      <w:pPr>
        <w:pStyle w:val="12"/>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ind w:firstLine="560" w:firstLineChars="200"/>
        <w:jc w:val="both"/>
        <w:textAlignment w:val="auto"/>
        <w:rPr>
          <w:rFonts w:hint="eastAsia" w:ascii="黑体" w:hAnsi="黑体" w:eastAsia="黑体" w:cstheme="minorBidi"/>
          <w:kern w:val="2"/>
          <w:sz w:val="28"/>
          <w:szCs w:val="28"/>
          <w:highlight w:val="none"/>
          <w:lang w:val="en-US" w:eastAsia="zh-CN" w:bidi="ar-SA"/>
        </w:rPr>
      </w:pPr>
      <w:r>
        <w:rPr>
          <w:rFonts w:hint="eastAsia" w:ascii="仿宋_GB2312" w:hAnsi="宋体" w:eastAsia="仿宋_GB2312" w:cs="宋体"/>
          <w:sz w:val="28"/>
          <w:szCs w:val="28"/>
        </w:rPr>
        <w:t>1、评审明细</w:t>
      </w:r>
    </w:p>
    <w:tbl>
      <w:tblPr>
        <w:tblStyle w:val="14"/>
        <w:tblW w:w="95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4"/>
        <w:gridCol w:w="2142"/>
        <w:gridCol w:w="2195"/>
        <w:gridCol w:w="1885"/>
      </w:tblGrid>
      <w:tr w14:paraId="2B246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jc w:val="center"/>
        </w:trPr>
        <w:tc>
          <w:tcPr>
            <w:tcW w:w="3354" w:type="dxa"/>
            <w:tcBorders>
              <w:top w:val="single" w:color="000000" w:sz="4" w:space="0"/>
              <w:left w:val="single" w:color="000000" w:sz="4" w:space="0"/>
              <w:bottom w:val="single" w:color="000000" w:sz="4" w:space="0"/>
              <w:right w:val="nil"/>
              <w:tl2br w:val="single" w:color="000000" w:sz="4" w:space="0"/>
            </w:tcBorders>
            <w:noWrap w:val="0"/>
            <w:vAlign w:val="center"/>
          </w:tcPr>
          <w:p w14:paraId="69F2A90A">
            <w:pPr>
              <w:keepNext w:val="0"/>
              <w:keepLines w:val="0"/>
              <w:widowControl/>
              <w:suppressLineNumbers w:val="0"/>
              <w:ind w:right="3" w:rightChars="0"/>
              <w:jc w:val="left"/>
              <w:textAlignment w:val="center"/>
              <w:rPr>
                <w:rFonts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 xml:space="preserve">评审内容   </w:t>
            </w:r>
            <w:r>
              <w:rPr>
                <w:rFonts w:hint="eastAsia" w:ascii="仿宋_GB2312" w:hAnsi="宋体" w:eastAsia="仿宋_GB2312" w:cs="仿宋_GB2312"/>
                <w:i w:val="0"/>
                <w:iCs w:val="0"/>
                <w:color w:val="000000"/>
                <w:kern w:val="0"/>
                <w:sz w:val="22"/>
                <w:szCs w:val="22"/>
                <w:u w:val="none"/>
                <w:lang w:val="en-US" w:eastAsia="zh-CN" w:bidi="ar"/>
              </w:rPr>
              <w:t xml:space="preserve">      </w:t>
            </w:r>
            <w:r>
              <w:rPr>
                <w:rFonts w:hint="default" w:ascii="仿宋_GB2312" w:hAnsi="宋体" w:eastAsia="仿宋_GB2312" w:cs="仿宋_GB2312"/>
                <w:i w:val="0"/>
                <w:iCs w:val="0"/>
                <w:color w:val="000000"/>
                <w:kern w:val="0"/>
                <w:sz w:val="22"/>
                <w:szCs w:val="22"/>
                <w:u w:val="none"/>
                <w:lang w:val="en-US" w:eastAsia="zh-CN" w:bidi="ar"/>
              </w:rPr>
              <w:t xml:space="preserve">供应商名称                                                                                                                                </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4B7F185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山东省白杨营地教育科技有限公司</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09EC70B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兵峰装备科技（泰安）有限公司</w:t>
            </w:r>
          </w:p>
        </w:tc>
        <w:tc>
          <w:tcPr>
            <w:tcW w:w="1885" w:type="dxa"/>
            <w:tcBorders>
              <w:top w:val="single" w:color="000000" w:sz="4" w:space="0"/>
              <w:left w:val="single" w:color="000000" w:sz="4" w:space="0"/>
              <w:bottom w:val="single" w:color="000000" w:sz="4" w:space="0"/>
              <w:right w:val="single" w:color="000000" w:sz="4" w:space="0"/>
            </w:tcBorders>
            <w:noWrap w:val="0"/>
            <w:vAlign w:val="center"/>
          </w:tcPr>
          <w:p w14:paraId="5679429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泰安中孚广告有限公司</w:t>
            </w:r>
          </w:p>
        </w:tc>
      </w:tr>
      <w:tr w14:paraId="4A283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3354" w:type="dxa"/>
            <w:tcBorders>
              <w:top w:val="single" w:color="000000" w:sz="4" w:space="0"/>
              <w:left w:val="single" w:color="000000" w:sz="4" w:space="0"/>
              <w:bottom w:val="single" w:color="000000" w:sz="4" w:space="0"/>
              <w:right w:val="single" w:color="000000" w:sz="4" w:space="0"/>
            </w:tcBorders>
            <w:noWrap w:val="0"/>
            <w:vAlign w:val="center"/>
          </w:tcPr>
          <w:p w14:paraId="4F411319">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价格部分</w:t>
            </w:r>
            <w:r>
              <w:rPr>
                <w:rFonts w:hint="default" w:ascii="仿宋_GB2312" w:hAnsi="宋体" w:eastAsia="仿宋_GB2312" w:cs="仿宋_GB2312"/>
                <w:i w:val="0"/>
                <w:iCs w:val="0"/>
                <w:color w:val="000000"/>
                <w:kern w:val="0"/>
                <w:sz w:val="22"/>
                <w:szCs w:val="22"/>
                <w:u w:val="none"/>
                <w:lang w:val="en-US" w:eastAsia="zh-CN" w:bidi="ar"/>
              </w:rPr>
              <w:t>（满分</w:t>
            </w:r>
            <w:r>
              <w:rPr>
                <w:rFonts w:hint="eastAsia" w:ascii="仿宋_GB2312" w:hAnsi="宋体" w:eastAsia="仿宋_GB2312" w:cs="仿宋_GB2312"/>
                <w:i w:val="0"/>
                <w:iCs w:val="0"/>
                <w:color w:val="000000"/>
                <w:kern w:val="0"/>
                <w:sz w:val="22"/>
                <w:szCs w:val="22"/>
                <w:u w:val="none"/>
                <w:lang w:val="en-US" w:eastAsia="zh-CN" w:bidi="ar"/>
              </w:rPr>
              <w:t>20</w:t>
            </w:r>
            <w:r>
              <w:rPr>
                <w:rFonts w:hint="default" w:ascii="仿宋_GB2312" w:hAnsi="宋体" w:eastAsia="仿宋_GB2312" w:cs="仿宋_GB2312"/>
                <w:i w:val="0"/>
                <w:iCs w:val="0"/>
                <w:color w:val="000000"/>
                <w:kern w:val="0"/>
                <w:sz w:val="22"/>
                <w:szCs w:val="22"/>
                <w:u w:val="none"/>
                <w:lang w:val="en-US" w:eastAsia="zh-CN" w:bidi="ar"/>
              </w:rPr>
              <w:t>分）</w:t>
            </w:r>
          </w:p>
        </w:tc>
        <w:tc>
          <w:tcPr>
            <w:tcW w:w="2142" w:type="dxa"/>
            <w:tcBorders>
              <w:top w:val="single" w:color="000000" w:sz="4" w:space="0"/>
              <w:left w:val="single" w:color="000000" w:sz="4" w:space="0"/>
              <w:bottom w:val="single" w:color="000000" w:sz="4" w:space="0"/>
              <w:right w:val="single" w:color="000000" w:sz="4" w:space="0"/>
            </w:tcBorders>
            <w:noWrap/>
            <w:vAlign w:val="center"/>
          </w:tcPr>
          <w:p w14:paraId="7222545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20.00 </w:t>
            </w:r>
          </w:p>
        </w:tc>
        <w:tc>
          <w:tcPr>
            <w:tcW w:w="2195" w:type="dxa"/>
            <w:tcBorders>
              <w:top w:val="single" w:color="000000" w:sz="4" w:space="0"/>
              <w:left w:val="single" w:color="000000" w:sz="4" w:space="0"/>
              <w:bottom w:val="single" w:color="000000" w:sz="4" w:space="0"/>
              <w:right w:val="single" w:color="000000" w:sz="4" w:space="0"/>
            </w:tcBorders>
            <w:noWrap/>
            <w:vAlign w:val="center"/>
          </w:tcPr>
          <w:p w14:paraId="60440825">
            <w:pPr>
              <w:keepNext w:val="0"/>
              <w:keepLines w:val="0"/>
              <w:widowControl/>
              <w:suppressLineNumbers w:val="0"/>
              <w:ind w:left="220" w:leftChars="0" w:hanging="220" w:hangingChars="10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19.93 </w:t>
            </w:r>
          </w:p>
        </w:tc>
        <w:tc>
          <w:tcPr>
            <w:tcW w:w="1885" w:type="dxa"/>
            <w:tcBorders>
              <w:top w:val="single" w:color="000000" w:sz="4" w:space="0"/>
              <w:left w:val="single" w:color="000000" w:sz="4" w:space="0"/>
              <w:bottom w:val="single" w:color="000000" w:sz="4" w:space="0"/>
              <w:right w:val="single" w:color="000000" w:sz="4" w:space="0"/>
            </w:tcBorders>
            <w:noWrap/>
            <w:vAlign w:val="center"/>
          </w:tcPr>
          <w:p w14:paraId="19AB2D1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19.93 </w:t>
            </w:r>
          </w:p>
        </w:tc>
      </w:tr>
      <w:tr w14:paraId="7341C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3354" w:type="dxa"/>
            <w:tcBorders>
              <w:top w:val="single" w:color="000000" w:sz="4" w:space="0"/>
              <w:left w:val="single" w:color="000000" w:sz="4" w:space="0"/>
              <w:bottom w:val="single" w:color="000000" w:sz="4" w:space="0"/>
              <w:right w:val="single" w:color="000000" w:sz="4" w:space="0"/>
            </w:tcBorders>
            <w:noWrap w:val="0"/>
            <w:vAlign w:val="center"/>
          </w:tcPr>
          <w:p w14:paraId="2C0E952F">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技术部分（满分</w:t>
            </w:r>
            <w:r>
              <w:rPr>
                <w:rFonts w:hint="eastAsia" w:ascii="仿宋_GB2312" w:hAnsi="宋体" w:eastAsia="仿宋_GB2312" w:cs="仿宋_GB2312"/>
                <w:i w:val="0"/>
                <w:iCs w:val="0"/>
                <w:color w:val="000000"/>
                <w:kern w:val="0"/>
                <w:sz w:val="22"/>
                <w:szCs w:val="22"/>
                <w:u w:val="none"/>
                <w:lang w:val="en-US" w:eastAsia="zh-CN" w:bidi="ar"/>
              </w:rPr>
              <w:t>60</w:t>
            </w:r>
            <w:r>
              <w:rPr>
                <w:rFonts w:hint="default" w:ascii="仿宋_GB2312" w:hAnsi="宋体" w:eastAsia="仿宋_GB2312" w:cs="仿宋_GB2312"/>
                <w:i w:val="0"/>
                <w:iCs w:val="0"/>
                <w:color w:val="000000"/>
                <w:kern w:val="0"/>
                <w:sz w:val="22"/>
                <w:szCs w:val="22"/>
                <w:u w:val="none"/>
                <w:lang w:val="en-US" w:eastAsia="zh-CN" w:bidi="ar"/>
              </w:rPr>
              <w:t>分）</w:t>
            </w:r>
          </w:p>
        </w:tc>
        <w:tc>
          <w:tcPr>
            <w:tcW w:w="2142" w:type="dxa"/>
            <w:tcBorders>
              <w:top w:val="single" w:color="000000" w:sz="4" w:space="0"/>
              <w:left w:val="single" w:color="000000" w:sz="4" w:space="0"/>
              <w:bottom w:val="single" w:color="000000" w:sz="4" w:space="0"/>
              <w:right w:val="single" w:color="000000" w:sz="4" w:space="0"/>
            </w:tcBorders>
            <w:noWrap/>
            <w:vAlign w:val="center"/>
          </w:tcPr>
          <w:p w14:paraId="267CD218">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52.33 </w:t>
            </w:r>
          </w:p>
        </w:tc>
        <w:tc>
          <w:tcPr>
            <w:tcW w:w="2195" w:type="dxa"/>
            <w:tcBorders>
              <w:top w:val="single" w:color="000000" w:sz="4" w:space="0"/>
              <w:left w:val="single" w:color="000000" w:sz="4" w:space="0"/>
              <w:bottom w:val="single" w:color="000000" w:sz="4" w:space="0"/>
              <w:right w:val="single" w:color="000000" w:sz="4" w:space="0"/>
            </w:tcBorders>
            <w:noWrap/>
            <w:vAlign w:val="center"/>
          </w:tcPr>
          <w:p w14:paraId="558FDBC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48.50 </w:t>
            </w:r>
          </w:p>
        </w:tc>
        <w:tc>
          <w:tcPr>
            <w:tcW w:w="1885" w:type="dxa"/>
            <w:tcBorders>
              <w:top w:val="single" w:color="000000" w:sz="4" w:space="0"/>
              <w:left w:val="single" w:color="000000" w:sz="4" w:space="0"/>
              <w:bottom w:val="single" w:color="000000" w:sz="4" w:space="0"/>
              <w:right w:val="single" w:color="000000" w:sz="4" w:space="0"/>
            </w:tcBorders>
            <w:noWrap/>
            <w:vAlign w:val="center"/>
          </w:tcPr>
          <w:p w14:paraId="13F3E6E8">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45.83 </w:t>
            </w:r>
          </w:p>
        </w:tc>
      </w:tr>
      <w:tr w14:paraId="6CA80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3354" w:type="dxa"/>
            <w:tcBorders>
              <w:top w:val="single" w:color="000000" w:sz="4" w:space="0"/>
              <w:left w:val="single" w:color="000000" w:sz="4" w:space="0"/>
              <w:bottom w:val="single" w:color="000000" w:sz="4" w:space="0"/>
              <w:right w:val="single" w:color="000000" w:sz="4" w:space="0"/>
            </w:tcBorders>
            <w:noWrap w:val="0"/>
            <w:vAlign w:val="center"/>
          </w:tcPr>
          <w:p w14:paraId="426B4A84">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商务部分（满分</w:t>
            </w:r>
            <w:r>
              <w:rPr>
                <w:rFonts w:hint="eastAsia" w:ascii="仿宋_GB2312" w:hAnsi="宋体" w:eastAsia="仿宋_GB2312" w:cs="仿宋_GB2312"/>
                <w:i w:val="0"/>
                <w:iCs w:val="0"/>
                <w:color w:val="000000"/>
                <w:kern w:val="0"/>
                <w:sz w:val="22"/>
                <w:szCs w:val="22"/>
                <w:u w:val="none"/>
                <w:lang w:val="en-US" w:eastAsia="zh-CN" w:bidi="ar"/>
              </w:rPr>
              <w:t>20</w:t>
            </w:r>
            <w:r>
              <w:rPr>
                <w:rFonts w:hint="default" w:ascii="仿宋_GB2312" w:hAnsi="宋体" w:eastAsia="仿宋_GB2312" w:cs="仿宋_GB2312"/>
                <w:i w:val="0"/>
                <w:iCs w:val="0"/>
                <w:color w:val="000000"/>
                <w:kern w:val="0"/>
                <w:sz w:val="22"/>
                <w:szCs w:val="22"/>
                <w:u w:val="none"/>
                <w:lang w:val="en-US" w:eastAsia="zh-CN" w:bidi="ar"/>
              </w:rPr>
              <w:t>分）</w:t>
            </w:r>
          </w:p>
        </w:tc>
        <w:tc>
          <w:tcPr>
            <w:tcW w:w="2142" w:type="dxa"/>
            <w:tcBorders>
              <w:top w:val="single" w:color="000000" w:sz="4" w:space="0"/>
              <w:left w:val="single" w:color="000000" w:sz="4" w:space="0"/>
              <w:bottom w:val="single" w:color="000000" w:sz="4" w:space="0"/>
              <w:right w:val="single" w:color="000000" w:sz="4" w:space="0"/>
            </w:tcBorders>
            <w:noWrap/>
            <w:vAlign w:val="center"/>
          </w:tcPr>
          <w:p w14:paraId="1812ACF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12.00 </w:t>
            </w:r>
          </w:p>
        </w:tc>
        <w:tc>
          <w:tcPr>
            <w:tcW w:w="2195" w:type="dxa"/>
            <w:tcBorders>
              <w:top w:val="single" w:color="000000" w:sz="4" w:space="0"/>
              <w:left w:val="single" w:color="000000" w:sz="4" w:space="0"/>
              <w:bottom w:val="single" w:color="000000" w:sz="4" w:space="0"/>
              <w:right w:val="single" w:color="000000" w:sz="4" w:space="0"/>
            </w:tcBorders>
            <w:noWrap/>
            <w:vAlign w:val="center"/>
          </w:tcPr>
          <w:p w14:paraId="0514E7E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8.00 </w:t>
            </w:r>
          </w:p>
        </w:tc>
        <w:tc>
          <w:tcPr>
            <w:tcW w:w="1885" w:type="dxa"/>
            <w:tcBorders>
              <w:top w:val="single" w:color="000000" w:sz="4" w:space="0"/>
              <w:left w:val="single" w:color="000000" w:sz="4" w:space="0"/>
              <w:bottom w:val="single" w:color="000000" w:sz="4" w:space="0"/>
              <w:right w:val="single" w:color="000000" w:sz="4" w:space="0"/>
            </w:tcBorders>
            <w:noWrap/>
            <w:vAlign w:val="center"/>
          </w:tcPr>
          <w:p w14:paraId="7E291E0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5.00 </w:t>
            </w:r>
          </w:p>
        </w:tc>
      </w:tr>
      <w:tr w14:paraId="706E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3354" w:type="dxa"/>
            <w:tcBorders>
              <w:top w:val="single" w:color="000000" w:sz="4" w:space="0"/>
              <w:left w:val="single" w:color="000000" w:sz="4" w:space="0"/>
              <w:bottom w:val="single" w:color="000000" w:sz="4" w:space="0"/>
              <w:right w:val="single" w:color="000000" w:sz="4" w:space="0"/>
            </w:tcBorders>
            <w:noWrap/>
            <w:vAlign w:val="center"/>
          </w:tcPr>
          <w:p w14:paraId="12F8FFEA">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合计（满分100分）</w:t>
            </w:r>
          </w:p>
        </w:tc>
        <w:tc>
          <w:tcPr>
            <w:tcW w:w="2142" w:type="dxa"/>
            <w:tcBorders>
              <w:top w:val="single" w:color="000000" w:sz="4" w:space="0"/>
              <w:left w:val="single" w:color="000000" w:sz="4" w:space="0"/>
              <w:bottom w:val="single" w:color="000000" w:sz="4" w:space="0"/>
              <w:right w:val="single" w:color="000000" w:sz="4" w:space="0"/>
            </w:tcBorders>
            <w:noWrap/>
            <w:vAlign w:val="center"/>
          </w:tcPr>
          <w:p w14:paraId="3C4FEEA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84.33 </w:t>
            </w:r>
          </w:p>
        </w:tc>
        <w:tc>
          <w:tcPr>
            <w:tcW w:w="2195" w:type="dxa"/>
            <w:tcBorders>
              <w:top w:val="single" w:color="000000" w:sz="4" w:space="0"/>
              <w:left w:val="single" w:color="000000" w:sz="4" w:space="0"/>
              <w:bottom w:val="single" w:color="000000" w:sz="4" w:space="0"/>
              <w:right w:val="single" w:color="000000" w:sz="4" w:space="0"/>
            </w:tcBorders>
            <w:noWrap/>
            <w:vAlign w:val="center"/>
          </w:tcPr>
          <w:p w14:paraId="1CC4108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76.43 </w:t>
            </w:r>
          </w:p>
        </w:tc>
        <w:tc>
          <w:tcPr>
            <w:tcW w:w="1885" w:type="dxa"/>
            <w:tcBorders>
              <w:top w:val="single" w:color="000000" w:sz="4" w:space="0"/>
              <w:left w:val="single" w:color="000000" w:sz="4" w:space="0"/>
              <w:bottom w:val="single" w:color="000000" w:sz="4" w:space="0"/>
              <w:right w:val="single" w:color="000000" w:sz="4" w:space="0"/>
            </w:tcBorders>
            <w:noWrap/>
            <w:vAlign w:val="center"/>
          </w:tcPr>
          <w:p w14:paraId="48C3270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70.77 </w:t>
            </w:r>
          </w:p>
        </w:tc>
      </w:tr>
    </w:tbl>
    <w:p w14:paraId="324564FE">
      <w:pPr>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2、未成交供应商的未成交原因：</w:t>
      </w:r>
    </w:p>
    <w:p w14:paraId="07B9DEE1">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黑体" w:hAnsi="黑体" w:eastAsia="黑体" w:cs="宋体"/>
          <w:kern w:val="0"/>
          <w:sz w:val="28"/>
          <w:szCs w:val="28"/>
          <w:lang w:val="en-US" w:eastAsia="zh-CN"/>
        </w:rPr>
      </w:pPr>
      <w:r>
        <w:rPr>
          <w:rFonts w:hint="eastAsia" w:ascii="仿宋_GB2312" w:hAnsi="宋体" w:eastAsia="仿宋_GB2312" w:cs="宋体"/>
          <w:kern w:val="0"/>
          <w:sz w:val="28"/>
          <w:szCs w:val="28"/>
          <w:lang w:val="en-US" w:eastAsia="zh-CN"/>
        </w:rPr>
        <w:t>兵峰装备</w:t>
      </w:r>
      <w:bookmarkStart w:id="1" w:name="_GoBack"/>
      <w:bookmarkEnd w:id="1"/>
      <w:r>
        <w:rPr>
          <w:rFonts w:hint="eastAsia" w:ascii="仿宋_GB2312" w:hAnsi="宋体" w:eastAsia="仿宋_GB2312" w:cs="宋体"/>
          <w:kern w:val="0"/>
          <w:sz w:val="28"/>
          <w:szCs w:val="28"/>
          <w:lang w:val="en-US" w:eastAsia="zh-CN"/>
        </w:rPr>
        <w:t>科技（泰安）有限公司</w:t>
      </w:r>
      <w:r>
        <w:rPr>
          <w:rFonts w:hint="eastAsia" w:ascii="仿宋_GB2312" w:hAnsi="宋体" w:eastAsia="仿宋_GB2312" w:cs="宋体"/>
          <w:kern w:val="0"/>
          <w:sz w:val="28"/>
          <w:szCs w:val="28"/>
        </w:rPr>
        <w:t>：经专家评审综合得分低；</w:t>
      </w:r>
      <w:r>
        <w:rPr>
          <w:rFonts w:hint="eastAsia" w:ascii="仿宋_GB2312" w:hAnsi="宋体" w:eastAsia="仿宋_GB2312" w:cs="宋体"/>
          <w:kern w:val="0"/>
          <w:sz w:val="28"/>
          <w:szCs w:val="28"/>
          <w:lang w:val="en-US" w:eastAsia="zh-CN"/>
        </w:rPr>
        <w:t>泰安中孚广告有限公司</w:t>
      </w:r>
      <w:r>
        <w:rPr>
          <w:rFonts w:hint="eastAsia" w:ascii="仿宋_GB2312" w:hAnsi="宋体" w:eastAsia="仿宋_GB2312" w:cs="宋体"/>
          <w:kern w:val="0"/>
          <w:sz w:val="28"/>
          <w:szCs w:val="28"/>
        </w:rPr>
        <w:t>：经专家评审综合得分低</w:t>
      </w:r>
      <w:r>
        <w:rPr>
          <w:rFonts w:hint="eastAsia" w:ascii="仿宋_GB2312" w:hAnsi="宋体" w:eastAsia="仿宋_GB2312" w:cs="宋体"/>
          <w:kern w:val="0"/>
          <w:sz w:val="28"/>
          <w:szCs w:val="28"/>
          <w:lang w:eastAsia="zh-CN"/>
        </w:rPr>
        <w:t>。</w:t>
      </w:r>
    </w:p>
    <w:p w14:paraId="1A1BFA0E">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cs="宋体"/>
          <w:kern w:val="0"/>
          <w:sz w:val="28"/>
          <w:szCs w:val="28"/>
        </w:rPr>
      </w:pPr>
      <w:r>
        <w:rPr>
          <w:rFonts w:hint="eastAsia" w:ascii="黑体" w:hAnsi="黑体" w:eastAsia="黑体" w:cs="宋体"/>
          <w:kern w:val="0"/>
          <w:sz w:val="28"/>
          <w:szCs w:val="28"/>
          <w:lang w:val="en-US" w:eastAsia="zh-CN"/>
        </w:rPr>
        <w:t>八</w:t>
      </w:r>
      <w:r>
        <w:rPr>
          <w:rFonts w:hint="eastAsia" w:ascii="黑体" w:hAnsi="黑体" w:eastAsia="黑体" w:cs="宋体"/>
          <w:kern w:val="0"/>
          <w:sz w:val="28"/>
          <w:szCs w:val="28"/>
        </w:rPr>
        <w:t>、凡对本次公告内容提出询问，请按以下方式联系。</w:t>
      </w:r>
    </w:p>
    <w:p w14:paraId="7513599B">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rPr>
        <w:t>1.</w:t>
      </w:r>
      <w:r>
        <w:rPr>
          <w:rFonts w:hint="eastAsia" w:ascii="仿宋_GB2312" w:hAnsi="宋体" w:eastAsia="仿宋_GB2312" w:cs="宋体"/>
          <w:kern w:val="0"/>
          <w:sz w:val="28"/>
          <w:szCs w:val="28"/>
          <w:lang w:val="zh-CN"/>
        </w:rPr>
        <w:t>采购人信息</w:t>
      </w:r>
    </w:p>
    <w:p w14:paraId="18EDC85B">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eastAsia="zh-CN"/>
        </w:rPr>
      </w:pPr>
      <w:r>
        <w:rPr>
          <w:rFonts w:hint="eastAsia" w:ascii="仿宋_GB2312" w:hAnsi="宋体" w:eastAsia="仿宋_GB2312" w:cs="宋体"/>
          <w:kern w:val="0"/>
          <w:sz w:val="28"/>
          <w:szCs w:val="28"/>
          <w:lang w:val="zh-CN" w:eastAsia="zh-CN"/>
        </w:rPr>
        <w:t>名称：山东省泰安英雄山中学</w:t>
      </w:r>
    </w:p>
    <w:p w14:paraId="0416F869">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eastAsia="zh-CN"/>
        </w:rPr>
      </w:pPr>
      <w:r>
        <w:rPr>
          <w:rFonts w:hint="eastAsia" w:ascii="仿宋_GB2312" w:hAnsi="宋体" w:eastAsia="仿宋_GB2312" w:cs="宋体"/>
          <w:kern w:val="0"/>
          <w:sz w:val="28"/>
          <w:szCs w:val="28"/>
          <w:lang w:val="zh-CN" w:eastAsia="zh-CN"/>
        </w:rPr>
        <w:t>地址：泰安市英才街11号</w:t>
      </w:r>
    </w:p>
    <w:p w14:paraId="4FC8817F">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eastAsia="zh-CN"/>
        </w:rPr>
      </w:pPr>
      <w:r>
        <w:rPr>
          <w:rFonts w:hint="eastAsia" w:ascii="仿宋_GB2312" w:hAnsi="宋体" w:eastAsia="仿宋_GB2312" w:cs="宋体"/>
          <w:kern w:val="0"/>
          <w:sz w:val="28"/>
          <w:szCs w:val="28"/>
          <w:lang w:val="zh-CN" w:eastAsia="zh-CN"/>
        </w:rPr>
        <w:t>联系方式：0538-8565689</w:t>
      </w:r>
    </w:p>
    <w:p w14:paraId="6A3CCF48">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rPr>
        <w:t>2.采购</w:t>
      </w:r>
      <w:r>
        <w:rPr>
          <w:rFonts w:hint="eastAsia" w:ascii="仿宋_GB2312" w:hAnsi="宋体" w:eastAsia="仿宋_GB2312" w:cs="宋体"/>
          <w:kern w:val="0"/>
          <w:sz w:val="28"/>
          <w:szCs w:val="28"/>
          <w:lang w:val="zh-CN"/>
        </w:rPr>
        <w:t>代理机构信息</w:t>
      </w:r>
    </w:p>
    <w:p w14:paraId="332F9619">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名称：山东思远工程管理服务有限公司</w:t>
      </w:r>
    </w:p>
    <w:p w14:paraId="4BC75DF0">
      <w:pPr>
        <w:overflowPunct w:val="0"/>
        <w:autoSpaceDE w:val="0"/>
        <w:autoSpaceDN w:val="0"/>
        <w:adjustRightInd w:val="0"/>
        <w:snapToGrid w:val="0"/>
        <w:spacing w:line="360" w:lineRule="auto"/>
        <w:ind w:firstLine="560" w:firstLineChars="200"/>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联系人：蒋宇靖</w:t>
      </w:r>
    </w:p>
    <w:p w14:paraId="5F7D815F">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地址：泰安市泰山区创业大街47号中天大厦802室</w:t>
      </w:r>
    </w:p>
    <w:p w14:paraId="56C27009">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lang w:val="en-US" w:eastAsia="zh-CN"/>
        </w:rPr>
        <w:t>联系方式</w:t>
      </w:r>
      <w:r>
        <w:rPr>
          <w:rFonts w:hint="eastAsia" w:ascii="仿宋_GB2312" w:hAnsi="宋体" w:eastAsia="仿宋_GB2312" w:cs="宋体"/>
          <w:kern w:val="0"/>
          <w:sz w:val="28"/>
          <w:szCs w:val="28"/>
          <w:lang w:val="zh-CN"/>
        </w:rPr>
        <w:t>：0538-6118611</w:t>
      </w:r>
    </w:p>
    <w:p w14:paraId="695AF31B">
      <w:pPr>
        <w:overflowPunct w:val="0"/>
        <w:autoSpaceDE w:val="0"/>
        <w:autoSpaceDN w:val="0"/>
        <w:adjustRightInd w:val="0"/>
        <w:snapToGrid w:val="0"/>
        <w:spacing w:line="360" w:lineRule="auto"/>
        <w:ind w:firstLine="5600" w:firstLineChars="2000"/>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bookmarkEnd w:id="0"/>
    </w:p>
    <w:sectPr>
      <w:pgSz w:w="11906" w:h="16838"/>
      <w:pgMar w:top="1260" w:right="946" w:bottom="1118"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宋?">
    <w:altName w:val="宋体"/>
    <w:panose1 w:val="00000000000000000000"/>
    <w:charset w:val="81"/>
    <w:family w:val="auto"/>
    <w:pitch w:val="default"/>
    <w:sig w:usb0="00000000" w:usb1="00000000" w:usb2="00000010" w:usb3="00000000" w:csb0="0008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dlYzdiZjNjYWIzOWIwY2M0MzQyMGY2ZDAyYjFiMjMifQ=="/>
  </w:docVars>
  <w:rsids>
    <w:rsidRoot w:val="0058660E"/>
    <w:rsid w:val="00046385"/>
    <w:rsid w:val="00106B47"/>
    <w:rsid w:val="001133C9"/>
    <w:rsid w:val="00114705"/>
    <w:rsid w:val="00130420"/>
    <w:rsid w:val="00151256"/>
    <w:rsid w:val="0019120B"/>
    <w:rsid w:val="001B02C3"/>
    <w:rsid w:val="001C7EB3"/>
    <w:rsid w:val="002600FE"/>
    <w:rsid w:val="002859E0"/>
    <w:rsid w:val="002A0A6B"/>
    <w:rsid w:val="002E73EA"/>
    <w:rsid w:val="003A023A"/>
    <w:rsid w:val="00450B27"/>
    <w:rsid w:val="0048729B"/>
    <w:rsid w:val="004A72F2"/>
    <w:rsid w:val="004C4F34"/>
    <w:rsid w:val="005548D6"/>
    <w:rsid w:val="00564FD3"/>
    <w:rsid w:val="0058660E"/>
    <w:rsid w:val="0058677A"/>
    <w:rsid w:val="005A706C"/>
    <w:rsid w:val="005B2432"/>
    <w:rsid w:val="005D3E15"/>
    <w:rsid w:val="005D58BB"/>
    <w:rsid w:val="00605563"/>
    <w:rsid w:val="00650108"/>
    <w:rsid w:val="00662C71"/>
    <w:rsid w:val="006E6607"/>
    <w:rsid w:val="00784B2C"/>
    <w:rsid w:val="007A2AE6"/>
    <w:rsid w:val="00861047"/>
    <w:rsid w:val="0087471C"/>
    <w:rsid w:val="008D153A"/>
    <w:rsid w:val="008E47B3"/>
    <w:rsid w:val="00941BB0"/>
    <w:rsid w:val="00996DDF"/>
    <w:rsid w:val="009E36DB"/>
    <w:rsid w:val="00A465F6"/>
    <w:rsid w:val="00A76921"/>
    <w:rsid w:val="00A830A3"/>
    <w:rsid w:val="00AB7AD3"/>
    <w:rsid w:val="00BD264E"/>
    <w:rsid w:val="00BF0341"/>
    <w:rsid w:val="00C16261"/>
    <w:rsid w:val="00C31555"/>
    <w:rsid w:val="00C87187"/>
    <w:rsid w:val="00CB4E1B"/>
    <w:rsid w:val="00CB5CC2"/>
    <w:rsid w:val="00D81DB9"/>
    <w:rsid w:val="00DB71CC"/>
    <w:rsid w:val="00E30D47"/>
    <w:rsid w:val="00E54808"/>
    <w:rsid w:val="00E601C1"/>
    <w:rsid w:val="00EB6B4F"/>
    <w:rsid w:val="00ED4F2B"/>
    <w:rsid w:val="00F0625D"/>
    <w:rsid w:val="00F136E5"/>
    <w:rsid w:val="00FE574A"/>
    <w:rsid w:val="01DF16C0"/>
    <w:rsid w:val="0202709A"/>
    <w:rsid w:val="048977DF"/>
    <w:rsid w:val="05D07B38"/>
    <w:rsid w:val="08DB7D3F"/>
    <w:rsid w:val="0B7A6A6C"/>
    <w:rsid w:val="0CF907D7"/>
    <w:rsid w:val="0D35628D"/>
    <w:rsid w:val="0F285FD9"/>
    <w:rsid w:val="12A045C5"/>
    <w:rsid w:val="15763CE7"/>
    <w:rsid w:val="165D6D83"/>
    <w:rsid w:val="16742019"/>
    <w:rsid w:val="17624744"/>
    <w:rsid w:val="17691333"/>
    <w:rsid w:val="18531789"/>
    <w:rsid w:val="198A1521"/>
    <w:rsid w:val="1BC52A87"/>
    <w:rsid w:val="1D75347B"/>
    <w:rsid w:val="1D822757"/>
    <w:rsid w:val="1E423888"/>
    <w:rsid w:val="1E5545D1"/>
    <w:rsid w:val="1E703D6D"/>
    <w:rsid w:val="201B5F9C"/>
    <w:rsid w:val="20FF3CF4"/>
    <w:rsid w:val="223233D9"/>
    <w:rsid w:val="235A561C"/>
    <w:rsid w:val="24C62B07"/>
    <w:rsid w:val="24DB121F"/>
    <w:rsid w:val="277976C4"/>
    <w:rsid w:val="2830016F"/>
    <w:rsid w:val="28761975"/>
    <w:rsid w:val="28781E2E"/>
    <w:rsid w:val="28A01BEE"/>
    <w:rsid w:val="292B1803"/>
    <w:rsid w:val="295E56EF"/>
    <w:rsid w:val="2ADD6094"/>
    <w:rsid w:val="2BC27887"/>
    <w:rsid w:val="2BF54FF2"/>
    <w:rsid w:val="2E5801D3"/>
    <w:rsid w:val="2F434040"/>
    <w:rsid w:val="318751C4"/>
    <w:rsid w:val="31CE021F"/>
    <w:rsid w:val="33162A2C"/>
    <w:rsid w:val="336D27F6"/>
    <w:rsid w:val="33CB15E9"/>
    <w:rsid w:val="34DA3F38"/>
    <w:rsid w:val="390111E9"/>
    <w:rsid w:val="3BE50120"/>
    <w:rsid w:val="3C625464"/>
    <w:rsid w:val="3E213694"/>
    <w:rsid w:val="3E594098"/>
    <w:rsid w:val="3EA115F5"/>
    <w:rsid w:val="3EA576C9"/>
    <w:rsid w:val="40584AEA"/>
    <w:rsid w:val="42776949"/>
    <w:rsid w:val="42CC34FF"/>
    <w:rsid w:val="43D063F3"/>
    <w:rsid w:val="443A60B2"/>
    <w:rsid w:val="451237DC"/>
    <w:rsid w:val="4718491D"/>
    <w:rsid w:val="47C00CCC"/>
    <w:rsid w:val="499917D4"/>
    <w:rsid w:val="4A234938"/>
    <w:rsid w:val="4C0429EA"/>
    <w:rsid w:val="4C1F1672"/>
    <w:rsid w:val="510C0980"/>
    <w:rsid w:val="510E1C1A"/>
    <w:rsid w:val="52715EA9"/>
    <w:rsid w:val="52756DE4"/>
    <w:rsid w:val="534B08E2"/>
    <w:rsid w:val="53504C42"/>
    <w:rsid w:val="54850892"/>
    <w:rsid w:val="549F3EFA"/>
    <w:rsid w:val="54EB113B"/>
    <w:rsid w:val="550F2E5F"/>
    <w:rsid w:val="553A1E70"/>
    <w:rsid w:val="55956FCC"/>
    <w:rsid w:val="55AC13A0"/>
    <w:rsid w:val="561010BF"/>
    <w:rsid w:val="58DF5EA3"/>
    <w:rsid w:val="59962206"/>
    <w:rsid w:val="59AD6E02"/>
    <w:rsid w:val="5BB54E91"/>
    <w:rsid w:val="5BC1342D"/>
    <w:rsid w:val="5BC449FD"/>
    <w:rsid w:val="5CCF4B1F"/>
    <w:rsid w:val="5D6145CA"/>
    <w:rsid w:val="5D706F32"/>
    <w:rsid w:val="5DB20066"/>
    <w:rsid w:val="5F0F51BD"/>
    <w:rsid w:val="5F445A66"/>
    <w:rsid w:val="5F701A7D"/>
    <w:rsid w:val="5F8E3006"/>
    <w:rsid w:val="60534A05"/>
    <w:rsid w:val="6069265E"/>
    <w:rsid w:val="60E6138E"/>
    <w:rsid w:val="60FD48E7"/>
    <w:rsid w:val="673B2B6F"/>
    <w:rsid w:val="69490132"/>
    <w:rsid w:val="6B82214A"/>
    <w:rsid w:val="6D475B1F"/>
    <w:rsid w:val="6DF51C3C"/>
    <w:rsid w:val="6EAF7553"/>
    <w:rsid w:val="6F593630"/>
    <w:rsid w:val="70423578"/>
    <w:rsid w:val="736033A8"/>
    <w:rsid w:val="739B5403"/>
    <w:rsid w:val="73E94440"/>
    <w:rsid w:val="74D25C13"/>
    <w:rsid w:val="75970A4C"/>
    <w:rsid w:val="76787B45"/>
    <w:rsid w:val="784B4DE7"/>
    <w:rsid w:val="7A603457"/>
    <w:rsid w:val="7C7C4411"/>
    <w:rsid w:val="7C826FA6"/>
    <w:rsid w:val="7F557DD6"/>
    <w:rsid w:val="7FC25A84"/>
    <w:rsid w:val="7FD0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before="260" w:after="260" w:line="415" w:lineRule="auto"/>
      <w:outlineLvl w:val="1"/>
    </w:pPr>
    <w:rPr>
      <w:rFonts w:ascii="Arial" w:hAnsi="Arial" w:eastAsia="黑体" w:cs="Arial"/>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360" w:lineRule="auto"/>
      <w:ind w:firstLine="420" w:firstLineChars="200"/>
    </w:pPr>
    <w:rPr>
      <w:rFonts w:ascii="Calibri" w:hAnsi="Calibri" w:eastAsia="宋体" w:cs="Times New Roman"/>
      <w:kern w:val="0"/>
      <w:sz w:val="20"/>
      <w:szCs w:val="20"/>
    </w:rPr>
  </w:style>
  <w:style w:type="paragraph" w:styleId="5">
    <w:name w:val="toa heading"/>
    <w:basedOn w:val="1"/>
    <w:next w:val="1"/>
    <w:qFormat/>
    <w:uiPriority w:val="99"/>
    <w:rPr>
      <w:rFonts w:ascii="Arial" w:hAnsi="Arial"/>
      <w:sz w:val="24"/>
      <w:szCs w:val="20"/>
    </w:rPr>
  </w:style>
  <w:style w:type="paragraph" w:styleId="6">
    <w:name w:val="Body Text Indent"/>
    <w:basedOn w:val="1"/>
    <w:unhideWhenUsed/>
    <w:qFormat/>
    <w:uiPriority w:val="99"/>
    <w:pPr>
      <w:spacing w:after="120"/>
      <w:ind w:left="420" w:leftChars="200"/>
    </w:pPr>
  </w:style>
  <w:style w:type="paragraph" w:styleId="7">
    <w:name w:val="List 2"/>
    <w:basedOn w:val="1"/>
    <w:qFormat/>
    <w:uiPriority w:val="0"/>
    <w:pPr>
      <w:ind w:left="100" w:leftChars="200" w:hanging="200" w:hangingChars="200"/>
    </w:pPr>
  </w:style>
  <w:style w:type="paragraph" w:styleId="8">
    <w:name w:val="Plain Text"/>
    <w:basedOn w:val="1"/>
    <w:qFormat/>
    <w:uiPriority w:val="0"/>
    <w:rPr>
      <w:rFonts w:ascii="宋体" w:hAnsi="Courier New"/>
    </w:rPr>
  </w:style>
  <w:style w:type="paragraph" w:styleId="9">
    <w:name w:val="Balloon Text"/>
    <w:basedOn w:val="1"/>
    <w:link w:val="21"/>
    <w:unhideWhenUsed/>
    <w:qFormat/>
    <w:uiPriority w:val="99"/>
    <w:rPr>
      <w:sz w:val="18"/>
      <w:szCs w:val="18"/>
    </w:rPr>
  </w:style>
  <w:style w:type="paragraph" w:styleId="10">
    <w:name w:val="footer"/>
    <w:basedOn w:val="1"/>
    <w:link w:val="20"/>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Body Text First Indent 2"/>
    <w:basedOn w:val="6"/>
    <w:qFormat/>
    <w:uiPriority w:val="99"/>
    <w:pPr>
      <w:ind w:firstLine="420" w:firstLineChars="200"/>
    </w:pPr>
    <w:rPr>
      <w:rFonts w:ascii="Times New Roman" w:eastAsia="宋?"/>
      <w:szCs w:val="24"/>
    </w:rPr>
  </w:style>
  <w:style w:type="table" w:styleId="15">
    <w:name w:val="Table Grid"/>
    <w:basedOn w:val="1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Default"/>
    <w:unhideWhenUsed/>
    <w:qFormat/>
    <w:uiPriority w:val="0"/>
    <w:pPr>
      <w:widowControl w:val="0"/>
      <w:autoSpaceDE w:val="0"/>
      <w:autoSpaceDN w:val="0"/>
    </w:pPr>
    <w:rPr>
      <w:rFonts w:hint="eastAsia" w:ascii="Calibri" w:hAnsi="Calibri" w:eastAsia="宋体" w:cs="Times New Roman"/>
      <w:color w:val="000000"/>
      <w:sz w:val="24"/>
      <w:lang w:val="en-US" w:eastAsia="zh-CN" w:bidi="ar-SA"/>
    </w:rPr>
  </w:style>
  <w:style w:type="paragraph" w:customStyle="1" w:styleId="18">
    <w:name w:val="No Spacing1"/>
    <w:qFormat/>
    <w:uiPriority w:val="99"/>
    <w:pPr>
      <w:widowControl w:val="0"/>
      <w:jc w:val="both"/>
    </w:pPr>
    <w:rPr>
      <w:rFonts w:ascii="Calibri" w:hAnsi="Calibri" w:eastAsia="等线" w:cs="等线"/>
      <w:kern w:val="2"/>
      <w:sz w:val="21"/>
      <w:szCs w:val="22"/>
      <w:lang w:val="en-US" w:eastAsia="zh-CN" w:bidi="ar-SA"/>
    </w:rPr>
  </w:style>
  <w:style w:type="character" w:customStyle="1" w:styleId="19">
    <w:name w:val="页眉 Char"/>
    <w:basedOn w:val="16"/>
    <w:link w:val="11"/>
    <w:qFormat/>
    <w:uiPriority w:val="99"/>
    <w:rPr>
      <w:sz w:val="18"/>
      <w:szCs w:val="18"/>
    </w:rPr>
  </w:style>
  <w:style w:type="character" w:customStyle="1" w:styleId="20">
    <w:name w:val="页脚 Char"/>
    <w:basedOn w:val="16"/>
    <w:link w:val="10"/>
    <w:qFormat/>
    <w:uiPriority w:val="99"/>
    <w:rPr>
      <w:sz w:val="18"/>
      <w:szCs w:val="18"/>
    </w:rPr>
  </w:style>
  <w:style w:type="character" w:customStyle="1" w:styleId="21">
    <w:name w:val="批注框文本 Char"/>
    <w:basedOn w:val="16"/>
    <w:link w:val="9"/>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7A3D1-FF81-463C-9461-320C0FD7BCC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541</Words>
  <Characters>640</Characters>
  <Lines>8</Lines>
  <Paragraphs>2</Paragraphs>
  <TotalTime>0</TotalTime>
  <ScaleCrop>false</ScaleCrop>
  <LinksUpToDate>false</LinksUpToDate>
  <CharactersWithSpaces>813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2018-07-06T04:10:00Z</dcterms:created>
  <dc:creator>NTKO</dc:creator>
  <cp:lastModifiedBy>Administrator</cp:lastModifiedBy>
  <cp:lastPrinted>2021-12-15T01:44:00Z</cp:lastPrinted>
  <dcterms:modified xsi:type="dcterms:W3CDTF">2026-07-29T07:34:17Z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34A8AFBCAC274920928470F0D40A7CDE</vt:lpwstr>
  </property>
  <property fmtid="{D5CDD505-2E9C-101B-9397-08002B2CF9AE}" pid="4" name="KSOTemplateDocerSaveRecord">
    <vt:lpwstr>eyJoZGlkIjoiNjVkOWQ1ZjM4MTA5M2ZiNmRlODllZmFiMjAyMDExM2MiLCJ1c2VySWQiOiIzODA2NDAwMzUifQ==</vt:lpwstr>
  </property>
</Properties>
</file>