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D3513">
      <w:pPr>
        <w:overflowPunct w:val="0"/>
        <w:autoSpaceDE w:val="0"/>
        <w:autoSpaceDN w:val="0"/>
        <w:adjustRightInd w:val="0"/>
        <w:snapToGrid w:val="0"/>
        <w:spacing w:line="360" w:lineRule="auto"/>
        <w:jc w:val="center"/>
        <w:rPr>
          <w:rFonts w:hint="eastAsia" w:ascii="黑体" w:hAnsi="黑体" w:eastAsia="黑体"/>
          <w:sz w:val="36"/>
          <w:szCs w:val="36"/>
        </w:rPr>
      </w:pPr>
      <w:bookmarkStart w:id="0" w:name="OLE_LINK1"/>
      <w:r>
        <w:rPr>
          <w:rFonts w:hint="eastAsia" w:ascii="黑体" w:hAnsi="黑体" w:eastAsia="黑体"/>
          <w:sz w:val="36"/>
          <w:szCs w:val="36"/>
          <w:lang w:val="en-US" w:eastAsia="zh-CN"/>
        </w:rPr>
        <w:t>山东省泰安英雄山中学暑假教师培训综合能力提升项目</w:t>
      </w:r>
    </w:p>
    <w:p w14:paraId="6216AAA4">
      <w:pPr>
        <w:overflowPunct w:val="0"/>
        <w:autoSpaceDE w:val="0"/>
        <w:autoSpaceDN w:val="0"/>
        <w:adjustRightInd w:val="0"/>
        <w:snapToGrid w:val="0"/>
        <w:spacing w:line="360" w:lineRule="auto"/>
        <w:jc w:val="center"/>
        <w:rPr>
          <w:rFonts w:hint="eastAsia" w:ascii="黑体" w:hAnsi="黑体" w:eastAsia="黑体"/>
          <w:sz w:val="36"/>
          <w:szCs w:val="36"/>
          <w:lang w:val="zh-CN"/>
        </w:rPr>
      </w:pPr>
      <w:r>
        <w:rPr>
          <w:rFonts w:hint="eastAsia" w:ascii="黑体" w:hAnsi="黑体" w:eastAsia="黑体"/>
          <w:sz w:val="36"/>
          <w:szCs w:val="36"/>
        </w:rPr>
        <w:t>成交结果</w:t>
      </w:r>
      <w:r>
        <w:rPr>
          <w:rFonts w:hint="eastAsia" w:ascii="黑体" w:hAnsi="黑体" w:eastAsia="黑体"/>
          <w:sz w:val="36"/>
          <w:szCs w:val="36"/>
          <w:lang w:val="zh-CN"/>
        </w:rPr>
        <w:t>公告</w:t>
      </w:r>
    </w:p>
    <w:p w14:paraId="2EB27148">
      <w:pPr>
        <w:pStyle w:val="17"/>
      </w:pPr>
    </w:p>
    <w:p w14:paraId="659BCF64">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sz w:val="28"/>
          <w:szCs w:val="28"/>
          <w:highlight w:val="none"/>
          <w:lang w:val="zh-CN" w:eastAsia="zh-CN"/>
        </w:rPr>
      </w:pPr>
      <w:r>
        <w:rPr>
          <w:rFonts w:hint="eastAsia" w:ascii="黑体" w:hAnsi="黑体" w:eastAsia="黑体"/>
          <w:sz w:val="28"/>
          <w:szCs w:val="28"/>
        </w:rPr>
        <w:t>一</w:t>
      </w:r>
      <w:r>
        <w:rPr>
          <w:rFonts w:ascii="黑体" w:hAnsi="黑体" w:eastAsia="黑体"/>
          <w:sz w:val="28"/>
          <w:szCs w:val="28"/>
        </w:rPr>
        <w:t>、</w:t>
      </w:r>
      <w:r>
        <w:rPr>
          <w:rFonts w:hint="eastAsia" w:ascii="黑体" w:hAnsi="黑体" w:eastAsia="黑体"/>
          <w:sz w:val="28"/>
          <w:szCs w:val="28"/>
        </w:rPr>
        <w:t>项目编号：</w:t>
      </w:r>
      <w:r>
        <w:rPr>
          <w:rFonts w:hint="eastAsia" w:ascii="仿宋" w:hAnsi="仿宋" w:eastAsia="仿宋"/>
          <w:sz w:val="28"/>
          <w:szCs w:val="28"/>
          <w:highlight w:val="none"/>
          <w:lang w:val="en-US" w:eastAsia="zh-CN"/>
        </w:rPr>
        <w:t>SDSYCG2026-07-58</w:t>
      </w:r>
    </w:p>
    <w:p w14:paraId="0312BE67">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sz w:val="28"/>
          <w:szCs w:val="28"/>
          <w:highlight w:val="none"/>
          <w:lang w:val="zh-CN" w:eastAsia="zh-CN"/>
        </w:rPr>
      </w:pPr>
      <w:r>
        <w:rPr>
          <w:rFonts w:hint="eastAsia" w:ascii="黑体" w:hAnsi="黑体" w:eastAsia="黑体"/>
          <w:sz w:val="28"/>
          <w:szCs w:val="28"/>
        </w:rPr>
        <w:t>二</w:t>
      </w:r>
      <w:r>
        <w:rPr>
          <w:rFonts w:ascii="黑体" w:hAnsi="黑体" w:eastAsia="黑体"/>
          <w:sz w:val="28"/>
          <w:szCs w:val="28"/>
        </w:rPr>
        <w:t>、</w:t>
      </w:r>
      <w:r>
        <w:rPr>
          <w:rFonts w:hint="eastAsia" w:ascii="黑体" w:hAnsi="黑体" w:eastAsia="黑体"/>
          <w:sz w:val="28"/>
          <w:szCs w:val="28"/>
        </w:rPr>
        <w:t>项目名称：</w:t>
      </w:r>
      <w:r>
        <w:rPr>
          <w:rFonts w:hint="eastAsia" w:ascii="仿宋" w:hAnsi="仿宋" w:eastAsia="仿宋"/>
          <w:sz w:val="28"/>
          <w:szCs w:val="28"/>
          <w:highlight w:val="none"/>
          <w:lang w:val="en-US" w:eastAsia="zh-CN"/>
        </w:rPr>
        <w:t>山东省泰安英雄山中学暑假教师培训综合能力提升项目</w:t>
      </w:r>
    </w:p>
    <w:p w14:paraId="0234E33F">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sz w:val="28"/>
          <w:szCs w:val="28"/>
          <w:highlight w:val="none"/>
        </w:rPr>
      </w:pPr>
      <w:r>
        <w:rPr>
          <w:rFonts w:hint="eastAsia" w:ascii="黑体" w:hAnsi="黑体" w:eastAsia="黑体"/>
          <w:sz w:val="28"/>
          <w:szCs w:val="28"/>
        </w:rPr>
        <w:t>三、成交</w:t>
      </w:r>
      <w:r>
        <w:rPr>
          <w:rFonts w:hint="eastAsia" w:ascii="黑体" w:hAnsi="黑体" w:eastAsia="黑体"/>
          <w:sz w:val="28"/>
          <w:szCs w:val="28"/>
          <w:highlight w:val="none"/>
        </w:rPr>
        <w:t>信息</w:t>
      </w:r>
    </w:p>
    <w:p w14:paraId="169DE565">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供应商名称：</w:t>
      </w:r>
      <w:r>
        <w:rPr>
          <w:rFonts w:hint="eastAsia" w:ascii="仿宋" w:hAnsi="仿宋" w:eastAsia="仿宋"/>
          <w:sz w:val="28"/>
          <w:szCs w:val="28"/>
          <w:highlight w:val="none"/>
          <w:lang w:val="en-US" w:eastAsia="zh-CN"/>
        </w:rPr>
        <w:t>北京读书最美教育科技有限公司</w:t>
      </w:r>
    </w:p>
    <w:p w14:paraId="5536300B">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 w:hAnsi="仿宋" w:eastAsia="仿宋"/>
          <w:sz w:val="28"/>
          <w:szCs w:val="28"/>
          <w:highlight w:val="none"/>
          <w:u w:val="none"/>
          <w:lang w:val="en-US" w:eastAsia="zh-CN"/>
        </w:rPr>
      </w:pPr>
      <w:r>
        <w:rPr>
          <w:rFonts w:hint="eastAsia" w:ascii="仿宋" w:hAnsi="仿宋" w:eastAsia="仿宋"/>
          <w:sz w:val="28"/>
          <w:szCs w:val="28"/>
          <w:highlight w:val="none"/>
        </w:rPr>
        <w:t>供应商地</w:t>
      </w:r>
      <w:r>
        <w:rPr>
          <w:rFonts w:hint="eastAsia" w:ascii="仿宋" w:hAnsi="仿宋" w:eastAsia="仿宋"/>
          <w:sz w:val="28"/>
          <w:szCs w:val="28"/>
          <w:highlight w:val="none"/>
          <w:u w:val="none"/>
        </w:rPr>
        <w:t>址：北京市海淀区四季青路8号7层727</w:t>
      </w:r>
    </w:p>
    <w:p w14:paraId="6C64CCF7">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default" w:ascii="仿宋" w:hAnsi="仿宋" w:eastAsia="仿宋"/>
          <w:sz w:val="28"/>
          <w:szCs w:val="28"/>
          <w:highlight w:val="none"/>
          <w:u w:val="none"/>
          <w:lang w:val="en-US" w:eastAsia="zh-CN"/>
        </w:rPr>
      </w:pPr>
      <w:r>
        <w:rPr>
          <w:rFonts w:hint="eastAsia" w:ascii="仿宋" w:hAnsi="仿宋" w:eastAsia="仿宋"/>
          <w:sz w:val="28"/>
          <w:szCs w:val="28"/>
          <w:highlight w:val="none"/>
          <w:u w:val="none"/>
        </w:rPr>
        <w:t>成交金额</w:t>
      </w:r>
      <w:r>
        <w:rPr>
          <w:rFonts w:hint="eastAsia" w:ascii="仿宋" w:hAnsi="仿宋" w:eastAsia="仿宋"/>
          <w:sz w:val="28"/>
          <w:szCs w:val="28"/>
          <w:highlight w:val="none"/>
          <w:u w:val="none"/>
          <w:lang w:eastAsia="zh-CN"/>
        </w:rPr>
        <w:t>：143000.00</w:t>
      </w:r>
      <w:r>
        <w:rPr>
          <w:rFonts w:hint="eastAsia" w:ascii="仿宋" w:hAnsi="仿宋" w:eastAsia="仿宋"/>
          <w:sz w:val="28"/>
          <w:szCs w:val="28"/>
          <w:highlight w:val="none"/>
          <w:u w:val="none"/>
          <w:lang w:val="en-US" w:eastAsia="zh-CN"/>
        </w:rPr>
        <w:t>元</w:t>
      </w:r>
    </w:p>
    <w:p w14:paraId="593B0619">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sz w:val="28"/>
          <w:szCs w:val="28"/>
        </w:rPr>
      </w:pPr>
      <w:r>
        <w:rPr>
          <w:rFonts w:hint="eastAsia" w:ascii="黑体" w:hAnsi="黑体" w:eastAsia="黑体"/>
          <w:sz w:val="28"/>
          <w:szCs w:val="28"/>
        </w:rPr>
        <w:t>四、主要标的信息</w:t>
      </w:r>
    </w:p>
    <w:tbl>
      <w:tblPr>
        <w:tblStyle w:val="15"/>
        <w:tblW w:w="97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9"/>
      </w:tblGrid>
      <w:tr w14:paraId="58C7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9" w:type="dxa"/>
          </w:tcPr>
          <w:p w14:paraId="3EFE0C32">
            <w:pPr>
              <w:keepNext w:val="0"/>
              <w:keepLines w:val="0"/>
              <w:pageBreakBefore w:val="0"/>
              <w:widowControl w:val="0"/>
              <w:kinsoku w:val="0"/>
              <w:wordWrap/>
              <w:overflowPunct w:val="0"/>
              <w:topLinePunct w:val="0"/>
              <w:autoSpaceDE w:val="0"/>
              <w:autoSpaceDN w:val="0"/>
              <w:bidi w:val="0"/>
              <w:adjustRightInd w:val="0"/>
              <w:snapToGrid w:val="0"/>
              <w:spacing w:line="360" w:lineRule="auto"/>
              <w:jc w:val="center"/>
              <w:textAlignment w:val="auto"/>
              <w:rPr>
                <w:rFonts w:ascii="仿宋" w:hAnsi="仿宋" w:eastAsia="仿宋"/>
                <w:kern w:val="0"/>
                <w:sz w:val="28"/>
                <w:szCs w:val="28"/>
              </w:rPr>
            </w:pPr>
            <w:r>
              <w:rPr>
                <w:rFonts w:hint="eastAsia" w:ascii="仿宋" w:hAnsi="仿宋" w:eastAsia="仿宋"/>
                <w:kern w:val="0"/>
                <w:sz w:val="28"/>
                <w:szCs w:val="28"/>
                <w:lang w:val="en-US" w:eastAsia="zh-CN"/>
              </w:rPr>
              <w:t>服务</w:t>
            </w:r>
            <w:r>
              <w:rPr>
                <w:rFonts w:hint="eastAsia" w:ascii="仿宋" w:hAnsi="仿宋" w:eastAsia="仿宋"/>
                <w:kern w:val="0"/>
                <w:sz w:val="28"/>
                <w:szCs w:val="28"/>
              </w:rPr>
              <w:t>类</w:t>
            </w:r>
          </w:p>
        </w:tc>
      </w:tr>
      <w:tr w14:paraId="7E837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9" w:type="dxa"/>
          </w:tcPr>
          <w:p w14:paraId="3A7C142A">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仿宋" w:hAnsi="仿宋" w:eastAsia="仿宋"/>
                <w:kern w:val="0"/>
                <w:sz w:val="28"/>
                <w:szCs w:val="28"/>
                <w:highlight w:val="none"/>
              </w:rPr>
            </w:pPr>
            <w:r>
              <w:rPr>
                <w:rFonts w:hint="eastAsia" w:ascii="仿宋" w:hAnsi="仿宋" w:eastAsia="仿宋"/>
                <w:kern w:val="0"/>
                <w:sz w:val="28"/>
                <w:szCs w:val="28"/>
                <w:highlight w:val="none"/>
                <w:lang w:val="en-US" w:eastAsia="zh-CN"/>
              </w:rPr>
              <w:t>项目</w:t>
            </w:r>
            <w:r>
              <w:rPr>
                <w:rFonts w:hint="eastAsia" w:ascii="仿宋" w:hAnsi="仿宋" w:eastAsia="仿宋"/>
                <w:kern w:val="0"/>
                <w:sz w:val="28"/>
                <w:szCs w:val="28"/>
                <w:highlight w:val="none"/>
              </w:rPr>
              <w:t>名称：</w:t>
            </w:r>
            <w:r>
              <w:rPr>
                <w:rFonts w:hint="eastAsia" w:ascii="仿宋" w:hAnsi="仿宋" w:eastAsia="仿宋"/>
                <w:kern w:val="0"/>
                <w:sz w:val="28"/>
                <w:szCs w:val="28"/>
                <w:highlight w:val="none"/>
                <w:lang w:val="en-US" w:eastAsia="zh-CN"/>
              </w:rPr>
              <w:t>山东省泰安英雄山中学暑假教师培训综合能力提升项目</w:t>
            </w:r>
          </w:p>
          <w:p w14:paraId="1C806D2C">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eastAsia" w:ascii="仿宋" w:hAnsi="仿宋" w:eastAsia="仿宋"/>
                <w:kern w:val="0"/>
                <w:sz w:val="28"/>
                <w:szCs w:val="28"/>
                <w:highlight w:val="none"/>
              </w:rPr>
            </w:pPr>
            <w:r>
              <w:rPr>
                <w:rFonts w:hint="eastAsia" w:ascii="仿宋" w:hAnsi="仿宋" w:eastAsia="仿宋"/>
                <w:kern w:val="0"/>
                <w:sz w:val="28"/>
                <w:szCs w:val="28"/>
                <w:highlight w:val="none"/>
                <w:lang w:eastAsia="zh-CN"/>
              </w:rPr>
              <w:t>采购需求：</w:t>
            </w:r>
            <w:r>
              <w:rPr>
                <w:rFonts w:hint="eastAsia" w:ascii="仿宋" w:hAnsi="仿宋" w:eastAsia="仿宋"/>
                <w:kern w:val="0"/>
                <w:sz w:val="28"/>
                <w:szCs w:val="28"/>
                <w:highlight w:val="none"/>
                <w:lang w:val="en-US" w:eastAsia="zh-CN"/>
              </w:rPr>
              <w:t>本项目为山东省泰安英雄山中学暑假教师培训综合能力提升与之相关的服务</w:t>
            </w:r>
          </w:p>
          <w:p w14:paraId="003FD17A">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hint="default" w:ascii="仿宋_GB2312" w:hAnsi="仿宋" w:eastAsia="仿宋_GB2312" w:cs="宋体"/>
                <w:color w:val="000000"/>
                <w:kern w:val="2"/>
                <w:sz w:val="28"/>
                <w:szCs w:val="28"/>
                <w:highlight w:val="none"/>
                <w:lang w:val="en-US" w:eastAsia="zh-CN" w:bidi="ar-SA"/>
              </w:rPr>
            </w:pPr>
            <w:r>
              <w:rPr>
                <w:rFonts w:hint="default" w:ascii="仿宋_GB2312" w:hAnsi="仿宋" w:eastAsia="仿宋_GB2312" w:cs="宋体"/>
                <w:color w:val="000000"/>
                <w:kern w:val="2"/>
                <w:sz w:val="28"/>
                <w:szCs w:val="28"/>
                <w:highlight w:val="none"/>
                <w:lang w:val="en-US" w:eastAsia="zh-CN" w:bidi="ar-SA"/>
              </w:rPr>
              <w:t>服务期限：根据采购人具体要求实施</w:t>
            </w:r>
          </w:p>
        </w:tc>
      </w:tr>
    </w:tbl>
    <w:p w14:paraId="7C76AB53">
      <w:pPr>
        <w:keepNext w:val="0"/>
        <w:keepLines w:val="0"/>
        <w:pageBreakBefore w:val="0"/>
        <w:widowControl w:val="0"/>
        <w:numPr>
          <w:ilvl w:val="0"/>
          <w:numId w:val="0"/>
        </w:numPr>
        <w:kinsoku/>
        <w:wordWrap w:val="0"/>
        <w:overflowPunct w:val="0"/>
        <w:topLinePunct/>
        <w:autoSpaceDE w:val="0"/>
        <w:autoSpaceDN w:val="0"/>
        <w:bidi w:val="0"/>
        <w:adjustRightInd w:val="0"/>
        <w:snapToGrid w:val="0"/>
        <w:spacing w:line="360" w:lineRule="auto"/>
        <w:textAlignment w:val="auto"/>
        <w:rPr>
          <w:rFonts w:hint="default" w:ascii="仿宋" w:hAnsi="仿宋" w:eastAsia="仿宋" w:cstheme="minorBidi"/>
          <w:kern w:val="0"/>
          <w:sz w:val="28"/>
          <w:szCs w:val="28"/>
          <w:highlight w:val="none"/>
          <w:lang w:val="en-US" w:eastAsia="zh-CN" w:bidi="ar-SA"/>
        </w:rPr>
      </w:pPr>
      <w:r>
        <w:rPr>
          <w:rFonts w:hint="eastAsia" w:ascii="黑体" w:hAnsi="黑体" w:eastAsia="黑体"/>
          <w:sz w:val="28"/>
          <w:szCs w:val="28"/>
          <w:highlight w:val="none"/>
          <w:lang w:eastAsia="zh-CN"/>
        </w:rPr>
        <w:t>五、</w:t>
      </w:r>
      <w:r>
        <w:rPr>
          <w:rFonts w:hint="eastAsia" w:ascii="黑体" w:hAnsi="黑体" w:eastAsia="黑体"/>
          <w:sz w:val="28"/>
          <w:szCs w:val="28"/>
          <w:highlight w:val="none"/>
        </w:rPr>
        <w:t>评审</w:t>
      </w:r>
      <w:r>
        <w:rPr>
          <w:rFonts w:hint="eastAsia" w:ascii="黑体" w:hAnsi="黑体" w:eastAsia="黑体"/>
          <w:sz w:val="28"/>
          <w:szCs w:val="28"/>
          <w:highlight w:val="none"/>
          <w:lang w:val="en-US" w:eastAsia="zh-CN"/>
        </w:rPr>
        <w:t>小组</w:t>
      </w:r>
      <w:r>
        <w:rPr>
          <w:rFonts w:hint="eastAsia" w:ascii="黑体" w:hAnsi="黑体" w:eastAsia="黑体"/>
          <w:sz w:val="28"/>
          <w:szCs w:val="28"/>
          <w:highlight w:val="none"/>
        </w:rPr>
        <w:t>名单：</w:t>
      </w:r>
      <w:r>
        <w:rPr>
          <w:rFonts w:hint="eastAsia" w:ascii="仿宋" w:hAnsi="仿宋" w:eastAsia="仿宋"/>
          <w:kern w:val="0"/>
          <w:sz w:val="28"/>
          <w:szCs w:val="28"/>
          <w:highlight w:val="none"/>
          <w:lang w:val="en-US" w:eastAsia="zh-CN"/>
        </w:rPr>
        <w:t>刘锐前、吴燕、于晓东。</w:t>
      </w:r>
    </w:p>
    <w:p w14:paraId="1DA96306">
      <w:pPr>
        <w:pStyle w:val="12"/>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jc w:val="both"/>
        <w:textAlignment w:val="auto"/>
        <w:rPr>
          <w:rFonts w:hint="eastAsia" w:ascii="黑体" w:hAnsi="黑体" w:eastAsia="黑体" w:cstheme="minorBidi"/>
          <w:kern w:val="2"/>
          <w:sz w:val="28"/>
          <w:szCs w:val="28"/>
          <w:highlight w:val="none"/>
          <w:lang w:val="en-US" w:eastAsia="zh-CN" w:bidi="ar-SA"/>
        </w:rPr>
      </w:pPr>
      <w:r>
        <w:rPr>
          <w:rFonts w:hint="eastAsia" w:ascii="黑体" w:hAnsi="黑体" w:eastAsia="黑体" w:cstheme="minorBidi"/>
          <w:kern w:val="2"/>
          <w:sz w:val="28"/>
          <w:szCs w:val="28"/>
          <w:highlight w:val="none"/>
          <w:lang w:val="en-US" w:eastAsia="zh-CN" w:bidi="ar-SA"/>
        </w:rPr>
        <w:t>六、公告期限</w:t>
      </w:r>
    </w:p>
    <w:p w14:paraId="57781889">
      <w:pPr>
        <w:pStyle w:val="12"/>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ind w:firstLine="560"/>
        <w:jc w:val="both"/>
        <w:textAlignment w:val="auto"/>
        <w:rPr>
          <w:rFonts w:hint="eastAsia" w:ascii="仿宋" w:hAnsi="仿宋" w:eastAsia="仿宋" w:cstheme="minorBidi"/>
          <w:kern w:val="0"/>
          <w:sz w:val="28"/>
          <w:szCs w:val="28"/>
          <w:highlight w:val="none"/>
          <w:lang w:val="en-US" w:eastAsia="zh-CN" w:bidi="ar-SA"/>
        </w:rPr>
      </w:pPr>
      <w:r>
        <w:rPr>
          <w:rFonts w:hint="eastAsia" w:ascii="仿宋" w:hAnsi="仿宋" w:eastAsia="仿宋" w:cstheme="minorBidi"/>
          <w:kern w:val="0"/>
          <w:sz w:val="28"/>
          <w:szCs w:val="28"/>
          <w:highlight w:val="none"/>
          <w:lang w:val="en-US" w:eastAsia="zh-CN" w:bidi="ar-SA"/>
        </w:rPr>
        <w:t>自本公告发布之日起1个工作日。</w:t>
      </w:r>
    </w:p>
    <w:p w14:paraId="1F2FD8A8">
      <w:pPr>
        <w:keepNext w:val="0"/>
        <w:keepLines w:val="0"/>
        <w:pageBreakBefore w:val="0"/>
        <w:widowControl w:val="0"/>
        <w:numPr>
          <w:ilvl w:val="0"/>
          <w:numId w:val="1"/>
        </w:numPr>
        <w:kinsoku/>
        <w:wordWrap w:val="0"/>
        <w:overflowPunct w:val="0"/>
        <w:topLinePunct/>
        <w:autoSpaceDE w:val="0"/>
        <w:autoSpaceDN w:val="0"/>
        <w:bidi w:val="0"/>
        <w:adjustRightInd w:val="0"/>
        <w:snapToGrid w:val="0"/>
        <w:spacing w:line="360" w:lineRule="auto"/>
        <w:textAlignment w:val="auto"/>
        <w:rPr>
          <w:rFonts w:hint="eastAsia" w:ascii="黑体" w:hAnsi="黑体" w:eastAsia="黑体" w:cstheme="minorBidi"/>
          <w:kern w:val="2"/>
          <w:sz w:val="28"/>
          <w:szCs w:val="28"/>
          <w:highlight w:val="none"/>
          <w:lang w:val="en-US" w:eastAsia="zh-CN" w:bidi="ar-SA"/>
        </w:rPr>
      </w:pPr>
      <w:r>
        <w:rPr>
          <w:rFonts w:hint="eastAsia" w:ascii="黑体" w:hAnsi="黑体" w:eastAsia="黑体" w:cstheme="minorBidi"/>
          <w:kern w:val="2"/>
          <w:sz w:val="28"/>
          <w:szCs w:val="28"/>
          <w:highlight w:val="none"/>
          <w:lang w:val="en-US" w:eastAsia="zh-CN" w:bidi="ar-SA"/>
        </w:rPr>
        <w:t>其他补充事宜</w:t>
      </w:r>
    </w:p>
    <w:p w14:paraId="7C27D9A9">
      <w:pPr>
        <w:pStyle w:val="12"/>
        <w:keepNext w:val="0"/>
        <w:keepLines w:val="0"/>
        <w:pageBreakBefore w:val="0"/>
        <w:widowControl w:val="0"/>
        <w:kinsoku/>
        <w:wordWrap w:val="0"/>
        <w:overflowPunct w:val="0"/>
        <w:topLinePunct/>
        <w:autoSpaceDE w:val="0"/>
        <w:autoSpaceDN w:val="0"/>
        <w:bidi w:val="0"/>
        <w:adjustRightInd w:val="0"/>
        <w:snapToGrid w:val="0"/>
        <w:spacing w:before="0" w:beforeAutospacing="0" w:after="0" w:afterAutospacing="0" w:line="360" w:lineRule="auto"/>
        <w:ind w:firstLine="560" w:firstLineChars="200"/>
        <w:jc w:val="both"/>
        <w:textAlignment w:val="auto"/>
        <w:rPr>
          <w:rFonts w:hint="eastAsia" w:ascii="黑体" w:hAnsi="黑体" w:eastAsia="黑体" w:cstheme="minorBidi"/>
          <w:kern w:val="2"/>
          <w:sz w:val="28"/>
          <w:szCs w:val="28"/>
          <w:highlight w:val="none"/>
          <w:lang w:val="en-US" w:eastAsia="zh-CN" w:bidi="ar-SA"/>
        </w:rPr>
      </w:pPr>
      <w:r>
        <w:rPr>
          <w:rFonts w:hint="eastAsia" w:ascii="仿宋_GB2312" w:hAnsi="宋体" w:eastAsia="仿宋_GB2312" w:cs="宋体"/>
          <w:sz w:val="28"/>
          <w:szCs w:val="28"/>
        </w:rPr>
        <w:t>1、评审明细</w:t>
      </w:r>
    </w:p>
    <w:tbl>
      <w:tblPr>
        <w:tblStyle w:val="14"/>
        <w:tblW w:w="90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97"/>
        <w:gridCol w:w="2274"/>
        <w:gridCol w:w="1731"/>
        <w:gridCol w:w="1996"/>
      </w:tblGrid>
      <w:tr w14:paraId="0481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jc w:val="center"/>
        </w:trPr>
        <w:tc>
          <w:tcPr>
            <w:tcW w:w="3097" w:type="dxa"/>
            <w:tcBorders>
              <w:top w:val="single" w:color="000000" w:sz="4" w:space="0"/>
              <w:left w:val="single" w:color="000000" w:sz="4" w:space="0"/>
              <w:bottom w:val="single" w:color="000000" w:sz="4" w:space="0"/>
              <w:right w:val="nil"/>
              <w:tl2br w:val="single" w:color="000000" w:sz="4" w:space="0"/>
            </w:tcBorders>
            <w:noWrap w:val="0"/>
            <w:vAlign w:val="center"/>
          </w:tcPr>
          <w:p w14:paraId="271488D9">
            <w:pPr>
              <w:keepNext w:val="0"/>
              <w:keepLines w:val="0"/>
              <w:widowControl/>
              <w:suppressLineNumbers w:val="0"/>
              <w:ind w:right="3" w:rightChars="0"/>
              <w:jc w:val="left"/>
              <w:textAlignment w:val="center"/>
              <w:rPr>
                <w:rFonts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 xml:space="preserve">评审内容   </w:t>
            </w:r>
            <w:r>
              <w:rPr>
                <w:rFonts w:hint="eastAsia" w:ascii="仿宋_GB2312" w:hAnsi="宋体" w:eastAsia="仿宋_GB2312" w:cs="仿宋_GB2312"/>
                <w:i w:val="0"/>
                <w:iCs w:val="0"/>
                <w:color w:val="000000"/>
                <w:kern w:val="0"/>
                <w:sz w:val="22"/>
                <w:szCs w:val="22"/>
                <w:u w:val="none"/>
                <w:lang w:val="en-US" w:eastAsia="zh-CN" w:bidi="ar"/>
              </w:rPr>
              <w:t xml:space="preserve">   </w:t>
            </w:r>
            <w:r>
              <w:rPr>
                <w:rFonts w:hint="default" w:ascii="仿宋_GB2312" w:hAnsi="宋体" w:eastAsia="仿宋_GB2312" w:cs="仿宋_GB2312"/>
                <w:i w:val="0"/>
                <w:iCs w:val="0"/>
                <w:color w:val="000000"/>
                <w:kern w:val="0"/>
                <w:sz w:val="22"/>
                <w:szCs w:val="22"/>
                <w:u w:val="none"/>
                <w:lang w:val="en-US" w:eastAsia="zh-CN" w:bidi="ar"/>
              </w:rPr>
              <w:t xml:space="preserve">供应商名称                                                                                                                                </w:t>
            </w:r>
          </w:p>
        </w:tc>
        <w:tc>
          <w:tcPr>
            <w:tcW w:w="2274" w:type="dxa"/>
            <w:tcBorders>
              <w:top w:val="single" w:color="000000" w:sz="4" w:space="0"/>
              <w:left w:val="single" w:color="000000" w:sz="4" w:space="0"/>
              <w:bottom w:val="single" w:color="000000" w:sz="4" w:space="0"/>
              <w:right w:val="single" w:color="000000" w:sz="4" w:space="0"/>
            </w:tcBorders>
            <w:noWrap w:val="0"/>
            <w:vAlign w:val="center"/>
          </w:tcPr>
          <w:p w14:paraId="4E4B4F8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山东尚鸿升学帮教育咨询有限公司</w:t>
            </w:r>
          </w:p>
        </w:tc>
        <w:tc>
          <w:tcPr>
            <w:tcW w:w="1731" w:type="dxa"/>
            <w:tcBorders>
              <w:top w:val="single" w:color="000000" w:sz="4" w:space="0"/>
              <w:left w:val="single" w:color="000000" w:sz="4" w:space="0"/>
              <w:bottom w:val="single" w:color="000000" w:sz="4" w:space="0"/>
              <w:right w:val="single" w:color="000000" w:sz="4" w:space="0"/>
            </w:tcBorders>
            <w:noWrap w:val="0"/>
            <w:vAlign w:val="center"/>
          </w:tcPr>
          <w:p w14:paraId="380A028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山东北佳文化传媒有限公司</w:t>
            </w:r>
          </w:p>
        </w:tc>
        <w:tc>
          <w:tcPr>
            <w:tcW w:w="1996" w:type="dxa"/>
            <w:tcBorders>
              <w:top w:val="single" w:color="000000" w:sz="4" w:space="0"/>
              <w:left w:val="single" w:color="000000" w:sz="4" w:space="0"/>
              <w:bottom w:val="single" w:color="000000" w:sz="4" w:space="0"/>
              <w:right w:val="single" w:color="000000" w:sz="4" w:space="0"/>
            </w:tcBorders>
            <w:noWrap w:val="0"/>
            <w:vAlign w:val="center"/>
          </w:tcPr>
          <w:p w14:paraId="7D926141">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北京读书最美教育科技有限公司</w:t>
            </w:r>
          </w:p>
        </w:tc>
      </w:tr>
      <w:tr w14:paraId="51845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3097" w:type="dxa"/>
            <w:tcBorders>
              <w:top w:val="single" w:color="000000" w:sz="4" w:space="0"/>
              <w:left w:val="single" w:color="000000" w:sz="4" w:space="0"/>
              <w:bottom w:val="single" w:color="000000" w:sz="4" w:space="0"/>
              <w:right w:val="single" w:color="000000" w:sz="4" w:space="0"/>
            </w:tcBorders>
            <w:noWrap w:val="0"/>
            <w:vAlign w:val="center"/>
          </w:tcPr>
          <w:p w14:paraId="611820C7">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价格部分</w:t>
            </w:r>
          </w:p>
        </w:tc>
        <w:tc>
          <w:tcPr>
            <w:tcW w:w="2274" w:type="dxa"/>
            <w:tcBorders>
              <w:top w:val="single" w:color="000000" w:sz="4" w:space="0"/>
              <w:left w:val="single" w:color="000000" w:sz="4" w:space="0"/>
              <w:bottom w:val="single" w:color="000000" w:sz="4" w:space="0"/>
              <w:right w:val="single" w:color="000000" w:sz="4" w:space="0"/>
            </w:tcBorders>
            <w:noWrap/>
            <w:vAlign w:val="center"/>
          </w:tcPr>
          <w:p w14:paraId="2D687EF9">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19.88 </w:t>
            </w: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368F75A7">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19.86 </w:t>
            </w:r>
          </w:p>
        </w:tc>
        <w:tc>
          <w:tcPr>
            <w:tcW w:w="1996" w:type="dxa"/>
            <w:tcBorders>
              <w:top w:val="single" w:color="000000" w:sz="4" w:space="0"/>
              <w:left w:val="single" w:color="000000" w:sz="4" w:space="0"/>
              <w:bottom w:val="single" w:color="000000" w:sz="4" w:space="0"/>
              <w:right w:val="single" w:color="000000" w:sz="4" w:space="0"/>
            </w:tcBorders>
            <w:noWrap/>
            <w:vAlign w:val="center"/>
          </w:tcPr>
          <w:p w14:paraId="05083E3C">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2"/>
                <w:szCs w:val="22"/>
                <w:u w:val="none"/>
                <w:lang w:val="en-US" w:eastAsia="zh-CN" w:bidi="ar"/>
              </w:rPr>
              <w:t xml:space="preserve">20.00 </w:t>
            </w:r>
          </w:p>
        </w:tc>
      </w:tr>
      <w:tr w14:paraId="5B21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3097" w:type="dxa"/>
            <w:tcBorders>
              <w:top w:val="single" w:color="000000" w:sz="4" w:space="0"/>
              <w:left w:val="single" w:color="000000" w:sz="4" w:space="0"/>
              <w:bottom w:val="single" w:color="000000" w:sz="4" w:space="0"/>
              <w:right w:val="single" w:color="000000" w:sz="4" w:space="0"/>
            </w:tcBorders>
            <w:noWrap w:val="0"/>
            <w:vAlign w:val="center"/>
          </w:tcPr>
          <w:p w14:paraId="7F110A50">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技术部分</w:t>
            </w:r>
          </w:p>
        </w:tc>
        <w:tc>
          <w:tcPr>
            <w:tcW w:w="2274" w:type="dxa"/>
            <w:tcBorders>
              <w:top w:val="single" w:color="000000" w:sz="4" w:space="0"/>
              <w:left w:val="single" w:color="000000" w:sz="4" w:space="0"/>
              <w:bottom w:val="single" w:color="000000" w:sz="4" w:space="0"/>
              <w:right w:val="single" w:color="000000" w:sz="4" w:space="0"/>
            </w:tcBorders>
            <w:noWrap/>
            <w:vAlign w:val="center"/>
          </w:tcPr>
          <w:p w14:paraId="12E1DD0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47.83 </w:t>
            </w: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72ED86CD">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48.67 </w:t>
            </w:r>
          </w:p>
        </w:tc>
        <w:tc>
          <w:tcPr>
            <w:tcW w:w="1996" w:type="dxa"/>
            <w:tcBorders>
              <w:top w:val="single" w:color="000000" w:sz="4" w:space="0"/>
              <w:left w:val="single" w:color="000000" w:sz="4" w:space="0"/>
              <w:bottom w:val="single" w:color="000000" w:sz="4" w:space="0"/>
              <w:right w:val="single" w:color="000000" w:sz="4" w:space="0"/>
            </w:tcBorders>
            <w:noWrap/>
            <w:vAlign w:val="center"/>
          </w:tcPr>
          <w:p w14:paraId="2FCAEB1F">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51.67 </w:t>
            </w:r>
          </w:p>
        </w:tc>
      </w:tr>
      <w:tr w14:paraId="2B9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3097" w:type="dxa"/>
            <w:tcBorders>
              <w:top w:val="single" w:color="000000" w:sz="4" w:space="0"/>
              <w:left w:val="single" w:color="000000" w:sz="4" w:space="0"/>
              <w:bottom w:val="single" w:color="000000" w:sz="4" w:space="0"/>
              <w:right w:val="single" w:color="000000" w:sz="4" w:space="0"/>
            </w:tcBorders>
            <w:noWrap w:val="0"/>
            <w:vAlign w:val="center"/>
          </w:tcPr>
          <w:p w14:paraId="48219A36">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商务部分</w:t>
            </w:r>
          </w:p>
        </w:tc>
        <w:tc>
          <w:tcPr>
            <w:tcW w:w="2274" w:type="dxa"/>
            <w:tcBorders>
              <w:top w:val="single" w:color="000000" w:sz="4" w:space="0"/>
              <w:left w:val="single" w:color="000000" w:sz="4" w:space="0"/>
              <w:bottom w:val="single" w:color="000000" w:sz="4" w:space="0"/>
              <w:right w:val="single" w:color="000000" w:sz="4" w:space="0"/>
            </w:tcBorders>
            <w:noWrap/>
            <w:vAlign w:val="center"/>
          </w:tcPr>
          <w:p w14:paraId="654D6A03">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8.00 </w:t>
            </w: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478DB64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7.67 </w:t>
            </w:r>
          </w:p>
        </w:tc>
        <w:tc>
          <w:tcPr>
            <w:tcW w:w="1996" w:type="dxa"/>
            <w:tcBorders>
              <w:top w:val="single" w:color="000000" w:sz="4" w:space="0"/>
              <w:left w:val="single" w:color="000000" w:sz="4" w:space="0"/>
              <w:bottom w:val="single" w:color="000000" w:sz="4" w:space="0"/>
              <w:right w:val="single" w:color="000000" w:sz="4" w:space="0"/>
            </w:tcBorders>
            <w:noWrap/>
            <w:vAlign w:val="center"/>
          </w:tcPr>
          <w:p w14:paraId="45E587BB">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10.17 </w:t>
            </w:r>
          </w:p>
        </w:tc>
      </w:tr>
      <w:tr w14:paraId="42429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3097" w:type="dxa"/>
            <w:tcBorders>
              <w:top w:val="single" w:color="000000" w:sz="4" w:space="0"/>
              <w:left w:val="single" w:color="000000" w:sz="4" w:space="0"/>
              <w:bottom w:val="single" w:color="000000" w:sz="4" w:space="0"/>
              <w:right w:val="single" w:color="000000" w:sz="4" w:space="0"/>
            </w:tcBorders>
            <w:noWrap/>
            <w:vAlign w:val="center"/>
          </w:tcPr>
          <w:p w14:paraId="19901F8C">
            <w:pPr>
              <w:keepNext w:val="0"/>
              <w:keepLines w:val="0"/>
              <w:widowControl/>
              <w:suppressLineNumbers w:val="0"/>
              <w:jc w:val="center"/>
              <w:textAlignment w:val="center"/>
              <w:rPr>
                <w:rFonts w:hint="default" w:ascii="仿宋_GB2312" w:hAnsi="宋体" w:eastAsia="仿宋_GB2312" w:cs="仿宋_GB2312"/>
                <w:i w:val="0"/>
                <w:iCs w:val="0"/>
                <w:color w:val="000000"/>
                <w:sz w:val="22"/>
                <w:szCs w:val="22"/>
                <w:u w:val="none"/>
              </w:rPr>
            </w:pPr>
            <w:r>
              <w:rPr>
                <w:rFonts w:hint="default" w:ascii="仿宋_GB2312" w:hAnsi="宋体" w:eastAsia="仿宋_GB2312" w:cs="仿宋_GB2312"/>
                <w:i w:val="0"/>
                <w:iCs w:val="0"/>
                <w:color w:val="000000"/>
                <w:kern w:val="0"/>
                <w:sz w:val="22"/>
                <w:szCs w:val="22"/>
                <w:u w:val="none"/>
                <w:lang w:val="en-US" w:eastAsia="zh-CN" w:bidi="ar"/>
              </w:rPr>
              <w:t>合计</w:t>
            </w:r>
          </w:p>
        </w:tc>
        <w:tc>
          <w:tcPr>
            <w:tcW w:w="2274" w:type="dxa"/>
            <w:tcBorders>
              <w:top w:val="single" w:color="000000" w:sz="4" w:space="0"/>
              <w:left w:val="single" w:color="000000" w:sz="4" w:space="0"/>
              <w:bottom w:val="single" w:color="000000" w:sz="4" w:space="0"/>
              <w:right w:val="single" w:color="000000" w:sz="4" w:space="0"/>
            </w:tcBorders>
            <w:noWrap/>
            <w:vAlign w:val="center"/>
          </w:tcPr>
          <w:p w14:paraId="7CA7C400">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75.71 </w:t>
            </w:r>
          </w:p>
        </w:tc>
        <w:tc>
          <w:tcPr>
            <w:tcW w:w="1731" w:type="dxa"/>
            <w:tcBorders>
              <w:top w:val="single" w:color="000000" w:sz="4" w:space="0"/>
              <w:left w:val="single" w:color="000000" w:sz="4" w:space="0"/>
              <w:bottom w:val="single" w:color="000000" w:sz="4" w:space="0"/>
              <w:right w:val="single" w:color="000000" w:sz="4" w:space="0"/>
            </w:tcBorders>
            <w:noWrap/>
            <w:vAlign w:val="center"/>
          </w:tcPr>
          <w:p w14:paraId="2E85B474">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76.19 </w:t>
            </w:r>
          </w:p>
        </w:tc>
        <w:tc>
          <w:tcPr>
            <w:tcW w:w="1996" w:type="dxa"/>
            <w:tcBorders>
              <w:top w:val="single" w:color="000000" w:sz="4" w:space="0"/>
              <w:left w:val="single" w:color="000000" w:sz="4" w:space="0"/>
              <w:bottom w:val="single" w:color="000000" w:sz="4" w:space="0"/>
              <w:right w:val="single" w:color="000000" w:sz="4" w:space="0"/>
            </w:tcBorders>
            <w:noWrap/>
            <w:vAlign w:val="center"/>
          </w:tcPr>
          <w:p w14:paraId="6160A5EA">
            <w:pPr>
              <w:keepNext w:val="0"/>
              <w:keepLines w:val="0"/>
              <w:widowControl/>
              <w:suppressLineNumbers w:val="0"/>
              <w:jc w:val="center"/>
              <w:textAlignment w:val="center"/>
              <w:rPr>
                <w:rFonts w:hint="default" w:ascii="仿宋_GB2312" w:hAnsi="宋体" w:eastAsia="仿宋_GB2312" w:cs="仿宋_GB2312"/>
                <w:i w:val="0"/>
                <w:iCs w:val="0"/>
                <w:color w:val="000000"/>
                <w:kern w:val="0"/>
                <w:sz w:val="22"/>
                <w:szCs w:val="22"/>
                <w:u w:val="none"/>
                <w:lang w:val="en-US" w:eastAsia="zh-CN" w:bidi="ar"/>
              </w:rPr>
            </w:pPr>
            <w:r>
              <w:rPr>
                <w:rFonts w:hint="default" w:ascii="仿宋_GB2312" w:hAnsi="宋体" w:eastAsia="仿宋_GB2312" w:cs="仿宋_GB2312"/>
                <w:i w:val="0"/>
                <w:iCs w:val="0"/>
                <w:color w:val="000000"/>
                <w:kern w:val="0"/>
                <w:sz w:val="24"/>
                <w:szCs w:val="24"/>
                <w:u w:val="none"/>
                <w:lang w:val="en-US" w:eastAsia="zh-CN" w:bidi="ar"/>
              </w:rPr>
              <w:t xml:space="preserve">81.83 </w:t>
            </w:r>
          </w:p>
        </w:tc>
      </w:tr>
    </w:tbl>
    <w:p w14:paraId="324564FE">
      <w:pPr>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2、未成交供应商的未成交原因：</w:t>
      </w:r>
    </w:p>
    <w:p w14:paraId="1D65C574">
      <w:pPr>
        <w:keepNext w:val="0"/>
        <w:keepLines w:val="0"/>
        <w:pageBreakBefore w:val="0"/>
        <w:widowControl w:val="0"/>
        <w:kinsoku w:val="0"/>
        <w:wordWrap/>
        <w:overflowPunct w:val="0"/>
        <w:topLinePunct w:val="0"/>
        <w:autoSpaceDE w:val="0"/>
        <w:autoSpaceDN w:val="0"/>
        <w:bidi w:val="0"/>
        <w:adjustRightInd w:val="0"/>
        <w:snapToGrid w:val="0"/>
        <w:spacing w:line="360" w:lineRule="auto"/>
        <w:ind w:firstLine="560" w:firstLineChars="200"/>
        <w:textAlignment w:val="auto"/>
        <w:rPr>
          <w:rFonts w:hint="eastAsia" w:ascii="黑体" w:hAnsi="黑体" w:eastAsia="黑体" w:cs="宋体"/>
          <w:kern w:val="0"/>
          <w:sz w:val="28"/>
          <w:szCs w:val="28"/>
          <w:lang w:val="en-US" w:eastAsia="zh-CN"/>
        </w:rPr>
      </w:pPr>
      <w:r>
        <w:rPr>
          <w:rFonts w:hint="eastAsia" w:ascii="仿宋_GB2312" w:hAnsi="宋体" w:eastAsia="仿宋_GB2312" w:cs="宋体"/>
          <w:kern w:val="0"/>
          <w:sz w:val="28"/>
          <w:szCs w:val="28"/>
          <w:lang w:val="en-US" w:eastAsia="zh-CN"/>
        </w:rPr>
        <w:t>山东尚鸿升学帮教育咨询有限公司</w:t>
      </w:r>
      <w:bookmarkStart w:id="1" w:name="_GoBack"/>
      <w:bookmarkEnd w:id="1"/>
      <w:r>
        <w:rPr>
          <w:rFonts w:hint="eastAsia" w:ascii="仿宋_GB2312" w:hAnsi="宋体" w:eastAsia="仿宋_GB2312" w:cs="宋体"/>
          <w:kern w:val="0"/>
          <w:sz w:val="28"/>
          <w:szCs w:val="28"/>
        </w:rPr>
        <w:t>：经专家评审综合得分低；</w:t>
      </w:r>
      <w:r>
        <w:rPr>
          <w:rFonts w:hint="eastAsia" w:ascii="仿宋_GB2312" w:hAnsi="宋体" w:eastAsia="仿宋_GB2312" w:cs="宋体"/>
          <w:kern w:val="0"/>
          <w:sz w:val="28"/>
          <w:szCs w:val="28"/>
          <w:lang w:val="en-US" w:eastAsia="zh-CN"/>
        </w:rPr>
        <w:t>山东北佳文化传媒有限公司</w:t>
      </w:r>
      <w:r>
        <w:rPr>
          <w:rFonts w:hint="eastAsia" w:ascii="仿宋_GB2312" w:hAnsi="宋体" w:eastAsia="仿宋_GB2312" w:cs="宋体"/>
          <w:kern w:val="0"/>
          <w:sz w:val="28"/>
          <w:szCs w:val="28"/>
        </w:rPr>
        <w:t>：经专家评审综合得分低</w:t>
      </w:r>
      <w:r>
        <w:rPr>
          <w:rFonts w:hint="eastAsia" w:ascii="仿宋_GB2312" w:hAnsi="宋体" w:eastAsia="仿宋_GB2312" w:cs="宋体"/>
          <w:kern w:val="0"/>
          <w:sz w:val="28"/>
          <w:szCs w:val="28"/>
          <w:lang w:eastAsia="zh-CN"/>
        </w:rPr>
        <w:t>。</w:t>
      </w:r>
    </w:p>
    <w:p w14:paraId="1A1BFA0E">
      <w:pPr>
        <w:keepNext w:val="0"/>
        <w:keepLines w:val="0"/>
        <w:pageBreakBefore w:val="0"/>
        <w:widowControl w:val="0"/>
        <w:kinsoku w:val="0"/>
        <w:wordWrap/>
        <w:overflowPunct w:val="0"/>
        <w:topLinePunct w:val="0"/>
        <w:autoSpaceDE w:val="0"/>
        <w:autoSpaceDN w:val="0"/>
        <w:bidi w:val="0"/>
        <w:adjustRightInd w:val="0"/>
        <w:snapToGrid w:val="0"/>
        <w:spacing w:line="360" w:lineRule="auto"/>
        <w:textAlignment w:val="auto"/>
        <w:rPr>
          <w:rFonts w:ascii="黑体" w:hAnsi="黑体" w:eastAsia="黑体" w:cs="宋体"/>
          <w:kern w:val="0"/>
          <w:sz w:val="28"/>
          <w:szCs w:val="28"/>
        </w:rPr>
      </w:pPr>
      <w:r>
        <w:rPr>
          <w:rFonts w:hint="eastAsia" w:ascii="黑体" w:hAnsi="黑体" w:eastAsia="黑体" w:cs="宋体"/>
          <w:kern w:val="0"/>
          <w:sz w:val="28"/>
          <w:szCs w:val="28"/>
          <w:lang w:val="en-US" w:eastAsia="zh-CN"/>
        </w:rPr>
        <w:t>八</w:t>
      </w:r>
      <w:r>
        <w:rPr>
          <w:rFonts w:hint="eastAsia" w:ascii="黑体" w:hAnsi="黑体" w:eastAsia="黑体" w:cs="宋体"/>
          <w:kern w:val="0"/>
          <w:sz w:val="28"/>
          <w:szCs w:val="28"/>
        </w:rPr>
        <w:t>、凡对本次公告内容提出询问，请按以下方式联系。</w:t>
      </w:r>
    </w:p>
    <w:p w14:paraId="7513599B">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rPr>
        <w:t>1.</w:t>
      </w:r>
      <w:r>
        <w:rPr>
          <w:rFonts w:hint="eastAsia" w:ascii="仿宋_GB2312" w:hAnsi="宋体" w:eastAsia="仿宋_GB2312" w:cs="宋体"/>
          <w:kern w:val="0"/>
          <w:sz w:val="28"/>
          <w:szCs w:val="28"/>
          <w:lang w:val="zh-CN"/>
        </w:rPr>
        <w:t>采购人信息</w:t>
      </w:r>
    </w:p>
    <w:p w14:paraId="7CFAA205">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eastAsia="zh-CN"/>
        </w:rPr>
      </w:pPr>
      <w:r>
        <w:rPr>
          <w:rFonts w:hint="eastAsia" w:ascii="仿宋_GB2312" w:hAnsi="宋体" w:eastAsia="仿宋_GB2312" w:cs="宋体"/>
          <w:kern w:val="0"/>
          <w:sz w:val="28"/>
          <w:szCs w:val="28"/>
          <w:lang w:val="zh-CN" w:eastAsia="zh-CN"/>
        </w:rPr>
        <w:t>名称：山东省泰安英雄山中学</w:t>
      </w:r>
    </w:p>
    <w:p w14:paraId="2013447D">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eastAsia="zh-CN"/>
        </w:rPr>
      </w:pPr>
      <w:r>
        <w:rPr>
          <w:rFonts w:hint="eastAsia" w:ascii="仿宋_GB2312" w:hAnsi="宋体" w:eastAsia="仿宋_GB2312" w:cs="宋体"/>
          <w:kern w:val="0"/>
          <w:sz w:val="28"/>
          <w:szCs w:val="28"/>
          <w:lang w:val="zh-CN" w:eastAsia="zh-CN"/>
        </w:rPr>
        <w:t>地址：泰安市英才街11号</w:t>
      </w:r>
    </w:p>
    <w:p w14:paraId="7709CC95">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eastAsia="zh-CN"/>
        </w:rPr>
      </w:pPr>
      <w:r>
        <w:rPr>
          <w:rFonts w:hint="eastAsia" w:ascii="仿宋_GB2312" w:hAnsi="宋体" w:eastAsia="仿宋_GB2312" w:cs="宋体"/>
          <w:kern w:val="0"/>
          <w:sz w:val="28"/>
          <w:szCs w:val="28"/>
          <w:lang w:val="zh-CN" w:eastAsia="zh-CN"/>
        </w:rPr>
        <w:t>联系方式：0538-8565689</w:t>
      </w:r>
    </w:p>
    <w:p w14:paraId="6A3CCF48">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rPr>
        <w:t>2.采购</w:t>
      </w:r>
      <w:r>
        <w:rPr>
          <w:rFonts w:hint="eastAsia" w:ascii="仿宋_GB2312" w:hAnsi="宋体" w:eastAsia="仿宋_GB2312" w:cs="宋体"/>
          <w:kern w:val="0"/>
          <w:sz w:val="28"/>
          <w:szCs w:val="28"/>
          <w:lang w:val="zh-CN"/>
        </w:rPr>
        <w:t>代理机构信息</w:t>
      </w:r>
    </w:p>
    <w:p w14:paraId="332F9619">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名称：山东思远工程管理服务有限公司</w:t>
      </w:r>
    </w:p>
    <w:p w14:paraId="4BC75DF0">
      <w:pPr>
        <w:overflowPunct w:val="0"/>
        <w:autoSpaceDE w:val="0"/>
        <w:autoSpaceDN w:val="0"/>
        <w:adjustRightInd w:val="0"/>
        <w:snapToGrid w:val="0"/>
        <w:spacing w:line="360" w:lineRule="auto"/>
        <w:ind w:firstLine="560" w:firstLineChars="200"/>
        <w:rPr>
          <w:rFonts w:hint="default" w:ascii="仿宋_GB2312" w:hAnsi="宋体" w:eastAsia="仿宋_GB2312" w:cs="宋体"/>
          <w:kern w:val="0"/>
          <w:sz w:val="28"/>
          <w:szCs w:val="28"/>
          <w:lang w:val="en-US" w:eastAsia="zh-CN"/>
        </w:rPr>
      </w:pPr>
      <w:r>
        <w:rPr>
          <w:rFonts w:hint="eastAsia" w:ascii="仿宋_GB2312" w:hAnsi="宋体" w:eastAsia="仿宋_GB2312" w:cs="宋体"/>
          <w:kern w:val="0"/>
          <w:sz w:val="28"/>
          <w:szCs w:val="28"/>
          <w:lang w:val="en-US" w:eastAsia="zh-CN"/>
        </w:rPr>
        <w:t>联系人：蒋宇靖</w:t>
      </w:r>
    </w:p>
    <w:p w14:paraId="5F7D815F">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zh-CN"/>
        </w:rPr>
        <w:t>地址：泰安市泰山区创业大街47号中天大厦802室</w:t>
      </w:r>
    </w:p>
    <w:p w14:paraId="56C27009">
      <w:pPr>
        <w:overflowPunct w:val="0"/>
        <w:autoSpaceDE w:val="0"/>
        <w:autoSpaceDN w:val="0"/>
        <w:adjustRightInd w:val="0"/>
        <w:snapToGrid w:val="0"/>
        <w:spacing w:line="360" w:lineRule="auto"/>
        <w:ind w:firstLine="560" w:firstLineChars="200"/>
        <w:rPr>
          <w:rFonts w:hint="eastAsia" w:ascii="仿宋_GB2312" w:hAnsi="宋体" w:eastAsia="仿宋_GB2312" w:cs="宋体"/>
          <w:kern w:val="0"/>
          <w:sz w:val="28"/>
          <w:szCs w:val="28"/>
          <w:lang w:val="zh-CN"/>
        </w:rPr>
      </w:pPr>
      <w:r>
        <w:rPr>
          <w:rFonts w:hint="eastAsia" w:ascii="仿宋_GB2312" w:hAnsi="宋体" w:eastAsia="仿宋_GB2312" w:cs="宋体"/>
          <w:kern w:val="0"/>
          <w:sz w:val="28"/>
          <w:szCs w:val="28"/>
          <w:lang w:val="en-US" w:eastAsia="zh-CN"/>
        </w:rPr>
        <w:t>联系方式</w:t>
      </w:r>
      <w:r>
        <w:rPr>
          <w:rFonts w:hint="eastAsia" w:ascii="仿宋_GB2312" w:hAnsi="宋体" w:eastAsia="仿宋_GB2312" w:cs="宋体"/>
          <w:kern w:val="0"/>
          <w:sz w:val="28"/>
          <w:szCs w:val="28"/>
          <w:lang w:val="zh-CN"/>
        </w:rPr>
        <w:t>：0538-6118611</w:t>
      </w:r>
    </w:p>
    <w:p w14:paraId="695AF31B">
      <w:pPr>
        <w:overflowPunct w:val="0"/>
        <w:autoSpaceDE w:val="0"/>
        <w:autoSpaceDN w:val="0"/>
        <w:adjustRightInd w:val="0"/>
        <w:snapToGrid w:val="0"/>
        <w:spacing w:line="360" w:lineRule="auto"/>
        <w:ind w:firstLine="5600" w:firstLineChars="2000"/>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bookmarkEnd w:id="0"/>
    </w:p>
    <w:sectPr>
      <w:pgSz w:w="11906" w:h="16838"/>
      <w:pgMar w:top="1260" w:right="946" w:bottom="1118"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宋?">
    <w:altName w:val="宋体"/>
    <w:panose1 w:val="00000000000000000000"/>
    <w:charset w:val="81"/>
    <w:family w:val="auto"/>
    <w:pitch w:val="default"/>
    <w:sig w:usb0="00000000" w:usb1="00000000" w:usb2="00000010" w:usb3="00000000" w:csb0="0008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E1858"/>
    <w:multiLevelType w:val="singleLevel"/>
    <w:tmpl w:val="B45E1858"/>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dlYzdiZjNjYWIzOWIwY2M0MzQyMGY2ZDAyYjFiMjMifQ=="/>
  </w:docVars>
  <w:rsids>
    <w:rsidRoot w:val="0058660E"/>
    <w:rsid w:val="00046385"/>
    <w:rsid w:val="00106B47"/>
    <w:rsid w:val="001133C9"/>
    <w:rsid w:val="00114705"/>
    <w:rsid w:val="00130420"/>
    <w:rsid w:val="00151256"/>
    <w:rsid w:val="0019120B"/>
    <w:rsid w:val="001B02C3"/>
    <w:rsid w:val="001C7EB3"/>
    <w:rsid w:val="002600FE"/>
    <w:rsid w:val="002859E0"/>
    <w:rsid w:val="002A0A6B"/>
    <w:rsid w:val="002E73EA"/>
    <w:rsid w:val="003A023A"/>
    <w:rsid w:val="00450B27"/>
    <w:rsid w:val="0048729B"/>
    <w:rsid w:val="004A72F2"/>
    <w:rsid w:val="004C4F34"/>
    <w:rsid w:val="005548D6"/>
    <w:rsid w:val="00564FD3"/>
    <w:rsid w:val="0058660E"/>
    <w:rsid w:val="0058677A"/>
    <w:rsid w:val="005A706C"/>
    <w:rsid w:val="005B2432"/>
    <w:rsid w:val="005D3E15"/>
    <w:rsid w:val="005D58BB"/>
    <w:rsid w:val="00605563"/>
    <w:rsid w:val="00650108"/>
    <w:rsid w:val="00662C71"/>
    <w:rsid w:val="006E6607"/>
    <w:rsid w:val="00784B2C"/>
    <w:rsid w:val="007A2AE6"/>
    <w:rsid w:val="00861047"/>
    <w:rsid w:val="0087471C"/>
    <w:rsid w:val="008D153A"/>
    <w:rsid w:val="008E47B3"/>
    <w:rsid w:val="00941BB0"/>
    <w:rsid w:val="00996DDF"/>
    <w:rsid w:val="009E36DB"/>
    <w:rsid w:val="00A465F6"/>
    <w:rsid w:val="00A76921"/>
    <w:rsid w:val="00A830A3"/>
    <w:rsid w:val="00AB7AD3"/>
    <w:rsid w:val="00BD264E"/>
    <w:rsid w:val="00BF0341"/>
    <w:rsid w:val="00C16261"/>
    <w:rsid w:val="00C31555"/>
    <w:rsid w:val="00C87187"/>
    <w:rsid w:val="00CB4E1B"/>
    <w:rsid w:val="00CB5CC2"/>
    <w:rsid w:val="00D81DB9"/>
    <w:rsid w:val="00DB71CC"/>
    <w:rsid w:val="00E30D47"/>
    <w:rsid w:val="00E54808"/>
    <w:rsid w:val="00E601C1"/>
    <w:rsid w:val="00EB6B4F"/>
    <w:rsid w:val="00ED4F2B"/>
    <w:rsid w:val="00F0625D"/>
    <w:rsid w:val="00F136E5"/>
    <w:rsid w:val="00FE574A"/>
    <w:rsid w:val="0130146A"/>
    <w:rsid w:val="01DF16C0"/>
    <w:rsid w:val="0202709A"/>
    <w:rsid w:val="048977DF"/>
    <w:rsid w:val="05D07B38"/>
    <w:rsid w:val="08DB7D3F"/>
    <w:rsid w:val="0B7A6A6C"/>
    <w:rsid w:val="0CF907D7"/>
    <w:rsid w:val="0D35628D"/>
    <w:rsid w:val="0F285FD9"/>
    <w:rsid w:val="12A045C5"/>
    <w:rsid w:val="15763CE7"/>
    <w:rsid w:val="165D6D83"/>
    <w:rsid w:val="16742019"/>
    <w:rsid w:val="17624744"/>
    <w:rsid w:val="17691333"/>
    <w:rsid w:val="18531789"/>
    <w:rsid w:val="198A1521"/>
    <w:rsid w:val="1BC52A87"/>
    <w:rsid w:val="1D75347B"/>
    <w:rsid w:val="1D822757"/>
    <w:rsid w:val="1E423888"/>
    <w:rsid w:val="1E5545D1"/>
    <w:rsid w:val="1E703D6D"/>
    <w:rsid w:val="201B5F9C"/>
    <w:rsid w:val="20FF3CF4"/>
    <w:rsid w:val="223233D9"/>
    <w:rsid w:val="235A561C"/>
    <w:rsid w:val="24C62B07"/>
    <w:rsid w:val="24DB121F"/>
    <w:rsid w:val="277976C4"/>
    <w:rsid w:val="2830016F"/>
    <w:rsid w:val="28761975"/>
    <w:rsid w:val="28781E2E"/>
    <w:rsid w:val="28A01BEE"/>
    <w:rsid w:val="292B1803"/>
    <w:rsid w:val="295E56EF"/>
    <w:rsid w:val="2ADD6094"/>
    <w:rsid w:val="2BC27887"/>
    <w:rsid w:val="2BF54FF2"/>
    <w:rsid w:val="2E2F270D"/>
    <w:rsid w:val="2E5801D3"/>
    <w:rsid w:val="2F434040"/>
    <w:rsid w:val="318751C4"/>
    <w:rsid w:val="31CE021F"/>
    <w:rsid w:val="33162A2C"/>
    <w:rsid w:val="336D27F6"/>
    <w:rsid w:val="33CB15E9"/>
    <w:rsid w:val="34DA3F38"/>
    <w:rsid w:val="390111E9"/>
    <w:rsid w:val="3BE50120"/>
    <w:rsid w:val="3C625464"/>
    <w:rsid w:val="3E213694"/>
    <w:rsid w:val="3E594098"/>
    <w:rsid w:val="3EA115F5"/>
    <w:rsid w:val="3EA576C9"/>
    <w:rsid w:val="40584AEA"/>
    <w:rsid w:val="42776949"/>
    <w:rsid w:val="42CC34FF"/>
    <w:rsid w:val="43D063F3"/>
    <w:rsid w:val="443A60B2"/>
    <w:rsid w:val="451237DC"/>
    <w:rsid w:val="4718491D"/>
    <w:rsid w:val="474244A9"/>
    <w:rsid w:val="47C00CCC"/>
    <w:rsid w:val="499917D4"/>
    <w:rsid w:val="4A234938"/>
    <w:rsid w:val="4C0429EA"/>
    <w:rsid w:val="4C1F1672"/>
    <w:rsid w:val="510C0980"/>
    <w:rsid w:val="510E1C1A"/>
    <w:rsid w:val="52715EA9"/>
    <w:rsid w:val="52756DE4"/>
    <w:rsid w:val="534B08E2"/>
    <w:rsid w:val="53504C42"/>
    <w:rsid w:val="54850892"/>
    <w:rsid w:val="549F3EFA"/>
    <w:rsid w:val="54EB113B"/>
    <w:rsid w:val="550F2E5F"/>
    <w:rsid w:val="553A1E70"/>
    <w:rsid w:val="55956FCC"/>
    <w:rsid w:val="55AC13A0"/>
    <w:rsid w:val="561010BF"/>
    <w:rsid w:val="58DF5EA3"/>
    <w:rsid w:val="59962206"/>
    <w:rsid w:val="59AD6E02"/>
    <w:rsid w:val="59CF180B"/>
    <w:rsid w:val="5BB54E91"/>
    <w:rsid w:val="5BC449FD"/>
    <w:rsid w:val="5D6145CA"/>
    <w:rsid w:val="5D706F32"/>
    <w:rsid w:val="5DB20066"/>
    <w:rsid w:val="5F0F51BD"/>
    <w:rsid w:val="5F445A66"/>
    <w:rsid w:val="5F701A7D"/>
    <w:rsid w:val="5F8E3006"/>
    <w:rsid w:val="60534A05"/>
    <w:rsid w:val="6069265E"/>
    <w:rsid w:val="60E6138E"/>
    <w:rsid w:val="673B2B6F"/>
    <w:rsid w:val="69490132"/>
    <w:rsid w:val="6B82214A"/>
    <w:rsid w:val="6D475B1F"/>
    <w:rsid w:val="6DF51C3C"/>
    <w:rsid w:val="6EAF7553"/>
    <w:rsid w:val="6F593630"/>
    <w:rsid w:val="70423578"/>
    <w:rsid w:val="736033A8"/>
    <w:rsid w:val="739B5403"/>
    <w:rsid w:val="73E94440"/>
    <w:rsid w:val="74D25C13"/>
    <w:rsid w:val="75970A4C"/>
    <w:rsid w:val="76787B45"/>
    <w:rsid w:val="784B4DE7"/>
    <w:rsid w:val="79DD216D"/>
    <w:rsid w:val="7A603457"/>
    <w:rsid w:val="7C7C4411"/>
    <w:rsid w:val="7F557DD6"/>
    <w:rsid w:val="7FC25A84"/>
    <w:rsid w:val="7FD0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before="260" w:after="260" w:line="415" w:lineRule="auto"/>
      <w:outlineLvl w:val="1"/>
    </w:pPr>
    <w:rPr>
      <w:rFonts w:ascii="Arial" w:hAnsi="Arial" w:eastAsia="黑体" w:cs="Arial"/>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adjustRightInd w:val="0"/>
      <w:spacing w:line="360" w:lineRule="auto"/>
      <w:ind w:firstLine="420" w:firstLineChars="200"/>
    </w:pPr>
    <w:rPr>
      <w:rFonts w:ascii="Calibri" w:hAnsi="Calibri" w:eastAsia="宋体" w:cs="Times New Roman"/>
      <w:kern w:val="0"/>
      <w:sz w:val="20"/>
      <w:szCs w:val="20"/>
    </w:rPr>
  </w:style>
  <w:style w:type="paragraph" w:styleId="5">
    <w:name w:val="toa heading"/>
    <w:basedOn w:val="1"/>
    <w:next w:val="1"/>
    <w:qFormat/>
    <w:uiPriority w:val="99"/>
    <w:rPr>
      <w:rFonts w:ascii="Arial" w:hAnsi="Arial"/>
      <w:sz w:val="24"/>
      <w:szCs w:val="20"/>
    </w:rPr>
  </w:style>
  <w:style w:type="paragraph" w:styleId="6">
    <w:name w:val="Body Text Indent"/>
    <w:basedOn w:val="1"/>
    <w:unhideWhenUsed/>
    <w:qFormat/>
    <w:uiPriority w:val="99"/>
    <w:pPr>
      <w:spacing w:after="120"/>
      <w:ind w:left="420" w:leftChars="200"/>
    </w:pPr>
  </w:style>
  <w:style w:type="paragraph" w:styleId="7">
    <w:name w:val="List 2"/>
    <w:basedOn w:val="1"/>
    <w:qFormat/>
    <w:uiPriority w:val="0"/>
    <w:pPr>
      <w:ind w:left="100" w:leftChars="200" w:hanging="200" w:hangingChars="200"/>
    </w:pPr>
  </w:style>
  <w:style w:type="paragraph" w:styleId="8">
    <w:name w:val="Plain Text"/>
    <w:basedOn w:val="1"/>
    <w:qFormat/>
    <w:uiPriority w:val="0"/>
    <w:rPr>
      <w:rFonts w:ascii="宋体" w:hAnsi="Courier New"/>
    </w:rPr>
  </w:style>
  <w:style w:type="paragraph" w:styleId="9">
    <w:name w:val="Balloon Text"/>
    <w:basedOn w:val="1"/>
    <w:link w:val="21"/>
    <w:unhideWhenUsed/>
    <w:qFormat/>
    <w:uiPriority w:val="99"/>
    <w:rPr>
      <w:sz w:val="18"/>
      <w:szCs w:val="18"/>
    </w:rPr>
  </w:style>
  <w:style w:type="paragraph" w:styleId="10">
    <w:name w:val="footer"/>
    <w:basedOn w:val="1"/>
    <w:link w:val="20"/>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jc w:val="left"/>
    </w:pPr>
    <w:rPr>
      <w:rFonts w:cs="Times New Roman"/>
      <w:kern w:val="0"/>
      <w:sz w:val="24"/>
    </w:rPr>
  </w:style>
  <w:style w:type="paragraph" w:styleId="13">
    <w:name w:val="Body Text First Indent 2"/>
    <w:basedOn w:val="6"/>
    <w:qFormat/>
    <w:uiPriority w:val="99"/>
    <w:pPr>
      <w:ind w:firstLine="420" w:firstLineChars="200"/>
    </w:pPr>
    <w:rPr>
      <w:rFonts w:ascii="Times New Roman" w:eastAsia="宋?"/>
      <w:szCs w:val="24"/>
    </w:rPr>
  </w:style>
  <w:style w:type="table" w:styleId="15">
    <w:name w:val="Table Grid"/>
    <w:basedOn w:val="14"/>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
    <w:name w:val="Default"/>
    <w:unhideWhenUsed/>
    <w:qFormat/>
    <w:uiPriority w:val="0"/>
    <w:pPr>
      <w:widowControl w:val="0"/>
      <w:autoSpaceDE w:val="0"/>
      <w:autoSpaceDN w:val="0"/>
    </w:pPr>
    <w:rPr>
      <w:rFonts w:hint="eastAsia" w:ascii="Calibri" w:hAnsi="Calibri" w:eastAsia="宋体" w:cs="Times New Roman"/>
      <w:color w:val="000000"/>
      <w:sz w:val="24"/>
      <w:lang w:val="en-US" w:eastAsia="zh-CN" w:bidi="ar-SA"/>
    </w:rPr>
  </w:style>
  <w:style w:type="paragraph" w:customStyle="1" w:styleId="18">
    <w:name w:val="No Spacing1"/>
    <w:qFormat/>
    <w:uiPriority w:val="99"/>
    <w:pPr>
      <w:widowControl w:val="0"/>
      <w:jc w:val="both"/>
    </w:pPr>
    <w:rPr>
      <w:rFonts w:ascii="Calibri" w:hAnsi="Calibri" w:eastAsia="等线" w:cs="等线"/>
      <w:kern w:val="2"/>
      <w:sz w:val="21"/>
      <w:szCs w:val="22"/>
      <w:lang w:val="en-US" w:eastAsia="zh-CN" w:bidi="ar-SA"/>
    </w:rPr>
  </w:style>
  <w:style w:type="character" w:customStyle="1" w:styleId="19">
    <w:name w:val="页眉 Char"/>
    <w:basedOn w:val="16"/>
    <w:link w:val="11"/>
    <w:qFormat/>
    <w:uiPriority w:val="99"/>
    <w:rPr>
      <w:sz w:val="18"/>
      <w:szCs w:val="18"/>
    </w:rPr>
  </w:style>
  <w:style w:type="character" w:customStyle="1" w:styleId="20">
    <w:name w:val="页脚 Char"/>
    <w:basedOn w:val="16"/>
    <w:link w:val="10"/>
    <w:qFormat/>
    <w:uiPriority w:val="99"/>
    <w:rPr>
      <w:sz w:val="18"/>
      <w:szCs w:val="18"/>
    </w:rPr>
  </w:style>
  <w:style w:type="character" w:customStyle="1" w:styleId="21">
    <w:name w:val="批注框文本 Char"/>
    <w:basedOn w:val="16"/>
    <w:link w:val="9"/>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7A3D1-FF81-463C-9461-320C0FD7BCC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462</Words>
  <Characters>561</Characters>
  <Lines>8</Lines>
  <Paragraphs>2</Paragraphs>
  <TotalTime>0</TotalTime>
  <ScaleCrop>false</ScaleCrop>
  <LinksUpToDate>false</LinksUpToDate>
  <CharactersWithSpaces>731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2018-07-06T04:10:00Z</dcterms:created>
  <dc:creator>NTKO</dc:creator>
  <cp:lastModifiedBy>Administrator</cp:lastModifiedBy>
  <cp:lastPrinted>2021-12-15T01:44:00Z</cp:lastPrinted>
  <dcterms:modified xsi:type="dcterms:W3CDTF">2026-07-29T07:32:51Z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34A8AFBCAC274920928470F0D40A7CDE</vt:lpwstr>
  </property>
  <property fmtid="{D5CDD505-2E9C-101B-9397-08002B2CF9AE}" pid="4" name="KSOTemplateDocerSaveRecord">
    <vt:lpwstr>eyJoZGlkIjoiNjVkOWQ1ZjM4MTA5M2ZiNmRlODllZmFiMjAyMDExM2MiLCJ1c2VySWQiOiIzODA2NDAwMzUifQ==</vt:lpwstr>
  </property>
</Properties>
</file>