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CD209">
      <w:pPr>
        <w:overflowPunct w:val="0"/>
        <w:autoSpaceDE w:val="0"/>
        <w:autoSpaceDN w:val="0"/>
        <w:adjustRightInd w:val="0"/>
        <w:snapToGrid w:val="0"/>
        <w:spacing w:line="360" w:lineRule="auto"/>
        <w:jc w:val="center"/>
        <w:rPr>
          <w:rFonts w:hint="eastAsia" w:ascii="黑体" w:hAnsi="黑体" w:eastAsia="黑体"/>
          <w:sz w:val="36"/>
          <w:szCs w:val="36"/>
          <w:lang w:val="zh-CN"/>
        </w:rPr>
      </w:pPr>
      <w:bookmarkStart w:id="0" w:name="OLE_LINK1"/>
      <w:r>
        <w:rPr>
          <w:rFonts w:hint="eastAsia" w:ascii="黑体" w:hAnsi="黑体" w:eastAsia="黑体"/>
          <w:sz w:val="36"/>
          <w:szCs w:val="36"/>
          <w:lang w:val="zh-CN" w:eastAsia="zh-CN"/>
        </w:rPr>
        <w:t>山东省泰安英雄山中学低压配电间防火门更换及管道地沟槽钢支架更换项目</w:t>
      </w:r>
      <w:r>
        <w:rPr>
          <w:rFonts w:hint="eastAsia" w:ascii="黑体" w:hAnsi="黑体" w:eastAsia="黑体"/>
          <w:sz w:val="36"/>
          <w:szCs w:val="36"/>
        </w:rPr>
        <w:t>成交结果</w:t>
      </w:r>
      <w:r>
        <w:rPr>
          <w:rFonts w:hint="eastAsia" w:ascii="黑体" w:hAnsi="黑体" w:eastAsia="黑体"/>
          <w:sz w:val="36"/>
          <w:szCs w:val="36"/>
          <w:lang w:val="zh-CN"/>
        </w:rPr>
        <w:t>公告</w:t>
      </w:r>
    </w:p>
    <w:p w14:paraId="0435F73B">
      <w:pPr>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en-US" w:eastAsia="zh-CN"/>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项目编号：</w:t>
      </w:r>
      <w:r>
        <w:rPr>
          <w:rFonts w:hint="eastAsia" w:ascii="仿宋" w:hAnsi="仿宋" w:eastAsia="仿宋"/>
          <w:sz w:val="28"/>
          <w:szCs w:val="28"/>
          <w:highlight w:val="none"/>
          <w:lang w:val="zh-CN" w:eastAsia="zh-CN"/>
        </w:rPr>
        <w:t>SDSYCG2026-07-49</w:t>
      </w:r>
    </w:p>
    <w:p w14:paraId="38BA5584">
      <w:pPr>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zh-CN" w:eastAsia="zh-CN"/>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r>
        <w:rPr>
          <w:rFonts w:hint="eastAsia" w:ascii="仿宋" w:hAnsi="仿宋" w:eastAsia="仿宋"/>
          <w:sz w:val="28"/>
          <w:szCs w:val="28"/>
          <w:highlight w:val="none"/>
          <w:lang w:val="zh-CN" w:eastAsia="zh-CN"/>
        </w:rPr>
        <w:t>山东省泰安英雄山中学低压配电间防火门更换及管道地沟槽钢支架更换项目</w:t>
      </w:r>
    </w:p>
    <w:p w14:paraId="397A63ED">
      <w:pPr>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rPr>
      </w:pPr>
      <w:r>
        <w:rPr>
          <w:rFonts w:hint="eastAsia" w:ascii="黑体" w:hAnsi="黑体" w:eastAsia="黑体"/>
          <w:sz w:val="28"/>
          <w:szCs w:val="28"/>
        </w:rPr>
        <w:t>三、成交信息</w:t>
      </w:r>
    </w:p>
    <w:p w14:paraId="1AB381C2">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供应商名称：泰安宏成消防器材有限公司</w:t>
      </w:r>
    </w:p>
    <w:p w14:paraId="17A309AD">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lang w:val="en-US" w:eastAsia="zh-CN"/>
        </w:rPr>
      </w:pPr>
      <w:r>
        <w:rPr>
          <w:rFonts w:hint="eastAsia" w:ascii="仿宋" w:hAnsi="仿宋" w:eastAsia="仿宋"/>
          <w:sz w:val="28"/>
          <w:szCs w:val="28"/>
          <w:highlight w:val="none"/>
          <w:lang w:val="en-US" w:eastAsia="zh-CN"/>
        </w:rPr>
        <w:t>成交金额：115000.00元</w:t>
      </w:r>
    </w:p>
    <w:p w14:paraId="110C9191">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default" w:ascii="仿宋" w:hAnsi="仿宋" w:eastAsia="仿宋"/>
          <w:sz w:val="28"/>
          <w:szCs w:val="28"/>
          <w:highlight w:val="none"/>
          <w:lang w:val="en-US" w:eastAsia="zh-CN"/>
        </w:rPr>
      </w:pPr>
      <w:r>
        <w:rPr>
          <w:rFonts w:hint="eastAsia" w:ascii="仿宋" w:hAnsi="仿宋" w:eastAsia="仿宋"/>
          <w:sz w:val="28"/>
          <w:szCs w:val="28"/>
          <w:highlight w:val="none"/>
          <w:lang w:val="en-US" w:eastAsia="zh-CN"/>
        </w:rPr>
        <w:t>地址：山东省泰安市泰山区泰东路232号院区62号</w:t>
      </w:r>
    </w:p>
    <w:p w14:paraId="593B0619">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rPr>
      </w:pPr>
      <w:r>
        <w:rPr>
          <w:rFonts w:hint="eastAsia" w:ascii="黑体" w:hAnsi="黑体" w:eastAsia="黑体"/>
          <w:sz w:val="28"/>
          <w:szCs w:val="28"/>
        </w:rPr>
        <w:t>四、主要标的信息</w:t>
      </w:r>
    </w:p>
    <w:tbl>
      <w:tblPr>
        <w:tblStyle w:val="14"/>
        <w:tblW w:w="9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9"/>
      </w:tblGrid>
      <w:tr w14:paraId="58C7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EFE0C32">
            <w:pPr>
              <w:keepNext w:val="0"/>
              <w:keepLines w:val="0"/>
              <w:pageBreakBefore w:val="0"/>
              <w:widowControl w:val="0"/>
              <w:kinsoku w:val="0"/>
              <w:wordWrap/>
              <w:overflowPunct w:val="0"/>
              <w:topLinePunct w:val="0"/>
              <w:autoSpaceDE w:val="0"/>
              <w:autoSpaceDN w:val="0"/>
              <w:bidi w:val="0"/>
              <w:adjustRightInd w:val="0"/>
              <w:snapToGrid w:val="0"/>
              <w:spacing w:line="360" w:lineRule="auto"/>
              <w:jc w:val="center"/>
              <w:textAlignment w:val="auto"/>
              <w:rPr>
                <w:rFonts w:ascii="仿宋" w:hAnsi="仿宋" w:eastAsia="仿宋"/>
                <w:kern w:val="0"/>
                <w:sz w:val="28"/>
                <w:szCs w:val="28"/>
              </w:rPr>
            </w:pPr>
            <w:r>
              <w:rPr>
                <w:rFonts w:hint="eastAsia" w:ascii="仿宋" w:hAnsi="仿宋" w:eastAsia="仿宋"/>
                <w:kern w:val="0"/>
                <w:sz w:val="28"/>
                <w:szCs w:val="28"/>
                <w:lang w:eastAsia="zh-CN"/>
              </w:rPr>
              <w:t>工程</w:t>
            </w:r>
            <w:r>
              <w:rPr>
                <w:rFonts w:hint="eastAsia" w:ascii="仿宋" w:hAnsi="仿宋" w:eastAsia="仿宋"/>
                <w:kern w:val="0"/>
                <w:sz w:val="28"/>
                <w:szCs w:val="28"/>
              </w:rPr>
              <w:t>类</w:t>
            </w:r>
          </w:p>
        </w:tc>
      </w:tr>
      <w:tr w14:paraId="7E83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A7C142A">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仿宋" w:hAnsi="仿宋" w:eastAsia="仿宋"/>
                <w:kern w:val="0"/>
                <w:sz w:val="28"/>
                <w:szCs w:val="28"/>
                <w:highlight w:val="none"/>
              </w:rPr>
            </w:pPr>
            <w:r>
              <w:rPr>
                <w:rFonts w:hint="eastAsia" w:ascii="仿宋" w:hAnsi="仿宋" w:eastAsia="仿宋"/>
                <w:kern w:val="0"/>
                <w:sz w:val="28"/>
                <w:szCs w:val="28"/>
                <w:highlight w:val="none"/>
              </w:rPr>
              <w:t>名称：</w:t>
            </w:r>
            <w:r>
              <w:rPr>
                <w:rFonts w:hint="eastAsia" w:ascii="仿宋" w:hAnsi="仿宋" w:eastAsia="仿宋"/>
                <w:kern w:val="0"/>
                <w:sz w:val="28"/>
                <w:szCs w:val="28"/>
                <w:highlight w:val="none"/>
                <w:lang w:val="zh-CN" w:eastAsia="zh-CN"/>
              </w:rPr>
              <w:t>山东省泰安英雄山中学低压配电间防火门更换及管道地沟槽钢支架更换项目</w:t>
            </w:r>
          </w:p>
          <w:p w14:paraId="1C806D2C">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kern w:val="0"/>
                <w:sz w:val="28"/>
                <w:szCs w:val="28"/>
                <w:highlight w:val="none"/>
              </w:rPr>
            </w:pPr>
            <w:r>
              <w:rPr>
                <w:rFonts w:hint="eastAsia" w:ascii="仿宋" w:hAnsi="仿宋" w:eastAsia="仿宋"/>
                <w:kern w:val="0"/>
                <w:sz w:val="28"/>
                <w:szCs w:val="28"/>
                <w:highlight w:val="none"/>
                <w:lang w:val="en-US" w:eastAsia="zh-CN"/>
              </w:rPr>
              <w:t>施工</w:t>
            </w:r>
            <w:r>
              <w:rPr>
                <w:rFonts w:hint="eastAsia" w:ascii="仿宋" w:hAnsi="仿宋" w:eastAsia="仿宋"/>
                <w:kern w:val="0"/>
                <w:sz w:val="28"/>
                <w:szCs w:val="28"/>
                <w:highlight w:val="none"/>
              </w:rPr>
              <w:t>内</w:t>
            </w:r>
            <w:r>
              <w:rPr>
                <w:rFonts w:hint="eastAsia" w:ascii="仿宋" w:hAnsi="仿宋" w:eastAsia="仿宋"/>
                <w:kern w:val="0"/>
                <w:sz w:val="28"/>
                <w:szCs w:val="28"/>
                <w:highlight w:val="none"/>
                <w:lang w:eastAsia="zh-CN"/>
              </w:rPr>
              <w:t>容</w:t>
            </w:r>
            <w:r>
              <w:rPr>
                <w:rFonts w:hint="eastAsia" w:ascii="仿宋" w:hAnsi="仿宋" w:eastAsia="仿宋"/>
                <w:kern w:val="0"/>
                <w:sz w:val="28"/>
                <w:szCs w:val="28"/>
                <w:highlight w:val="none"/>
                <w:lang w:val="zh-CN" w:eastAsia="zh-CN"/>
              </w:rPr>
              <w:t>：本次项目低压配电间更换防火门约为119平方米；管道地沟槽钢支架68套。主要施工内容为更换办公楼、宿舍楼、教学楼、餐厅、科技楼低压配电间防火门及管道地沟槽钢支架制作安装</w:t>
            </w:r>
          </w:p>
          <w:p w14:paraId="64113D66">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仿宋_GB2312" w:hAnsi="仿宋" w:eastAsia="仿宋_GB2312" w:cs="宋体"/>
                <w:color w:val="000000"/>
                <w:kern w:val="2"/>
                <w:sz w:val="28"/>
                <w:szCs w:val="28"/>
                <w:highlight w:val="none"/>
                <w:lang w:val="en-US" w:eastAsia="zh-CN" w:bidi="ar-SA"/>
              </w:rPr>
            </w:pPr>
            <w:r>
              <w:rPr>
                <w:rFonts w:hint="default" w:ascii="仿宋_GB2312" w:hAnsi="仿宋" w:eastAsia="仿宋_GB2312" w:cs="宋体"/>
                <w:color w:val="000000"/>
                <w:kern w:val="2"/>
                <w:sz w:val="28"/>
                <w:szCs w:val="28"/>
                <w:highlight w:val="none"/>
                <w:lang w:val="en-US" w:eastAsia="zh-CN" w:bidi="ar-SA"/>
              </w:rPr>
              <w:t>工期：</w:t>
            </w:r>
            <w:r>
              <w:rPr>
                <w:rFonts w:hint="eastAsia" w:ascii="仿宋_GB2312" w:hAnsi="仿宋" w:eastAsia="仿宋_GB2312" w:cs="宋体"/>
                <w:color w:val="000000"/>
                <w:sz w:val="28"/>
                <w:szCs w:val="28"/>
                <w:lang w:val="zh-CN" w:eastAsia="zh-CN"/>
              </w:rPr>
              <w:t>20日历天</w:t>
            </w:r>
          </w:p>
        </w:tc>
      </w:tr>
    </w:tbl>
    <w:p w14:paraId="7C76AB53">
      <w:pPr>
        <w:keepNext w:val="0"/>
        <w:keepLines w:val="0"/>
        <w:pageBreakBefore w:val="0"/>
        <w:widowControl w:val="0"/>
        <w:numPr>
          <w:ilvl w:val="0"/>
          <w:numId w:val="0"/>
        </w:numPr>
        <w:kinsoku/>
        <w:wordWrap w:val="0"/>
        <w:overflowPunct w:val="0"/>
        <w:topLinePunct/>
        <w:autoSpaceDE w:val="0"/>
        <w:autoSpaceDN w:val="0"/>
        <w:bidi w:val="0"/>
        <w:adjustRightInd w:val="0"/>
        <w:snapToGrid w:val="0"/>
        <w:spacing w:line="360" w:lineRule="auto"/>
        <w:textAlignment w:val="auto"/>
        <w:rPr>
          <w:rFonts w:hint="default" w:ascii="仿宋" w:hAnsi="仿宋" w:eastAsia="仿宋"/>
          <w:sz w:val="28"/>
          <w:szCs w:val="28"/>
          <w:highlight w:val="none"/>
          <w:lang w:val="en-US" w:eastAsia="zh-CN"/>
        </w:rPr>
      </w:pPr>
      <w:r>
        <w:rPr>
          <w:rFonts w:hint="eastAsia" w:ascii="黑体" w:hAnsi="黑体" w:eastAsia="黑体"/>
          <w:sz w:val="28"/>
          <w:szCs w:val="28"/>
          <w:lang w:eastAsia="zh-CN"/>
        </w:rPr>
        <w:t>五、</w:t>
      </w:r>
      <w:r>
        <w:rPr>
          <w:rFonts w:hint="eastAsia" w:ascii="黑体" w:hAnsi="黑体" w:eastAsia="黑体"/>
          <w:sz w:val="28"/>
          <w:szCs w:val="28"/>
        </w:rPr>
        <w:t>评审</w:t>
      </w:r>
      <w:r>
        <w:rPr>
          <w:rFonts w:hint="eastAsia" w:ascii="黑体" w:hAnsi="黑体" w:eastAsia="黑体"/>
          <w:sz w:val="28"/>
          <w:szCs w:val="28"/>
          <w:lang w:val="en-US" w:eastAsia="zh-CN"/>
        </w:rPr>
        <w:t>小组</w:t>
      </w:r>
      <w:r>
        <w:rPr>
          <w:rFonts w:hint="eastAsia" w:ascii="黑体" w:hAnsi="黑体" w:eastAsia="黑体"/>
          <w:sz w:val="28"/>
          <w:szCs w:val="28"/>
        </w:rPr>
        <w:t>名单：</w:t>
      </w:r>
      <w:r>
        <w:rPr>
          <w:rFonts w:hint="eastAsia" w:ascii="仿宋" w:hAnsi="仿宋" w:eastAsia="仿宋"/>
          <w:sz w:val="28"/>
          <w:szCs w:val="28"/>
          <w:highlight w:val="none"/>
          <w:lang w:val="en-US" w:eastAsia="zh-CN"/>
        </w:rPr>
        <w:t>刘双、杨胜、杨玲</w:t>
      </w:r>
    </w:p>
    <w:p w14:paraId="1DA96306">
      <w:pPr>
        <w:pStyle w:val="11"/>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jc w:val="both"/>
        <w:textAlignment w:val="auto"/>
        <w:rPr>
          <w:rFonts w:hint="eastAsia" w:ascii="黑体" w:hAnsi="黑体" w:eastAsia="黑体" w:cstheme="minorBidi"/>
          <w:kern w:val="2"/>
          <w:sz w:val="28"/>
          <w:szCs w:val="28"/>
          <w:lang w:val="en-US" w:eastAsia="zh-CN" w:bidi="ar-SA"/>
        </w:rPr>
      </w:pPr>
      <w:r>
        <w:rPr>
          <w:rFonts w:hint="eastAsia" w:ascii="黑体" w:hAnsi="黑体" w:eastAsia="黑体" w:cstheme="minorBidi"/>
          <w:kern w:val="2"/>
          <w:sz w:val="28"/>
          <w:szCs w:val="28"/>
          <w:lang w:val="en-US" w:eastAsia="zh-CN" w:bidi="ar-SA"/>
        </w:rPr>
        <w:t>六、公告期限</w:t>
      </w:r>
    </w:p>
    <w:p w14:paraId="57781889">
      <w:pPr>
        <w:pStyle w:val="11"/>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jc w:val="both"/>
        <w:textAlignment w:val="auto"/>
        <w:rPr>
          <w:rFonts w:hint="eastAsia" w:ascii="仿宋" w:hAnsi="仿宋" w:eastAsia="仿宋" w:cstheme="minorBidi"/>
          <w:kern w:val="2"/>
          <w:sz w:val="28"/>
          <w:szCs w:val="28"/>
          <w:highlight w:val="none"/>
          <w:lang w:val="en-US" w:eastAsia="zh-CN" w:bidi="ar-SA"/>
        </w:rPr>
      </w:pPr>
      <w:r>
        <w:rPr>
          <w:rFonts w:hint="eastAsia" w:ascii="仿宋" w:hAnsi="仿宋" w:eastAsia="仿宋" w:cstheme="minorBidi"/>
          <w:kern w:val="2"/>
          <w:sz w:val="28"/>
          <w:szCs w:val="28"/>
          <w:highlight w:val="none"/>
          <w:lang w:val="en-US" w:eastAsia="zh-CN" w:bidi="ar-SA"/>
        </w:rPr>
        <w:t>自本公告发布之日起1个工作日。</w:t>
      </w:r>
    </w:p>
    <w:p w14:paraId="1F2FD8A8">
      <w:pPr>
        <w:keepNext w:val="0"/>
        <w:keepLines w:val="0"/>
        <w:pageBreakBefore w:val="0"/>
        <w:widowControl w:val="0"/>
        <w:numPr>
          <w:ilvl w:val="0"/>
          <w:numId w:val="0"/>
        </w:numPr>
        <w:kinsoku/>
        <w:wordWrap w:val="0"/>
        <w:overflowPunct w:val="0"/>
        <w:topLinePunct/>
        <w:autoSpaceDE w:val="0"/>
        <w:autoSpaceDN w:val="0"/>
        <w:bidi w:val="0"/>
        <w:adjustRightInd w:val="0"/>
        <w:snapToGrid w:val="0"/>
        <w:spacing w:line="360" w:lineRule="auto"/>
        <w:textAlignment w:val="auto"/>
        <w:rPr>
          <w:rFonts w:hint="eastAsia" w:ascii="黑体" w:hAnsi="黑体" w:eastAsia="黑体" w:cs="仿宋"/>
          <w:sz w:val="28"/>
          <w:szCs w:val="28"/>
          <w:lang w:eastAsia="zh-CN"/>
        </w:rPr>
      </w:pPr>
      <w:r>
        <w:rPr>
          <w:rFonts w:hint="eastAsia" w:ascii="黑体" w:hAnsi="黑体" w:eastAsia="黑体" w:cs="仿宋"/>
          <w:sz w:val="28"/>
          <w:szCs w:val="28"/>
          <w:lang w:val="en-US" w:eastAsia="zh-CN"/>
        </w:rPr>
        <w:t>七、</w:t>
      </w:r>
      <w:r>
        <w:rPr>
          <w:rFonts w:hint="eastAsia" w:ascii="黑体" w:hAnsi="黑体" w:eastAsia="黑体" w:cs="仿宋"/>
          <w:sz w:val="28"/>
          <w:szCs w:val="28"/>
        </w:rPr>
        <w:t>其他补充事宜</w:t>
      </w:r>
      <w:bookmarkStart w:id="1" w:name="_GoBack"/>
      <w:bookmarkEnd w:id="1"/>
    </w:p>
    <w:p w14:paraId="5296852B">
      <w:pPr>
        <w:pStyle w:val="11"/>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firstLineChars="200"/>
        <w:jc w:val="both"/>
        <w:textAlignment w:val="auto"/>
        <w:rPr>
          <w:rFonts w:hint="eastAsia" w:ascii="仿宋_GB2312" w:hAnsi="宋体" w:eastAsia="仿宋_GB2312" w:cs="宋体"/>
          <w:kern w:val="0"/>
          <w:sz w:val="28"/>
          <w:szCs w:val="28"/>
        </w:rPr>
      </w:pPr>
      <w:r>
        <w:rPr>
          <w:rFonts w:hint="eastAsia" w:ascii="仿宋_GB2312" w:hAnsi="宋体" w:eastAsia="仿宋_GB2312" w:cs="宋体"/>
          <w:sz w:val="28"/>
          <w:szCs w:val="28"/>
        </w:rPr>
        <w:t>1、评审明细</w:t>
      </w:r>
    </w:p>
    <w:tbl>
      <w:tblPr>
        <w:tblStyle w:val="13"/>
        <w:tblW w:w="9657" w:type="dxa"/>
        <w:tblInd w:w="-13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9"/>
        <w:gridCol w:w="2202"/>
        <w:gridCol w:w="1657"/>
        <w:gridCol w:w="1859"/>
        <w:gridCol w:w="1648"/>
        <w:gridCol w:w="1662"/>
      </w:tblGrid>
      <w:tr w14:paraId="4340A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2831" w:type="dxa"/>
            <w:gridSpan w:val="2"/>
            <w:tcBorders>
              <w:top w:val="single" w:color="000000" w:sz="4" w:space="0"/>
              <w:left w:val="single" w:color="000000" w:sz="4" w:space="0"/>
              <w:bottom w:val="single" w:color="000000" w:sz="4" w:space="0"/>
              <w:right w:val="nil"/>
              <w:tl2br w:val="single" w:color="000000" w:sz="4" w:space="0"/>
            </w:tcBorders>
            <w:noWrap w:val="0"/>
            <w:vAlign w:val="center"/>
          </w:tcPr>
          <w:p w14:paraId="0E167293">
            <w:pPr>
              <w:keepNext w:val="0"/>
              <w:keepLines w:val="0"/>
              <w:widowControl/>
              <w:suppressLineNumbers w:val="0"/>
              <w:ind w:right="3" w:rightChars="0"/>
              <w:jc w:val="left"/>
              <w:textAlignment w:val="center"/>
              <w:rPr>
                <w:rFonts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 xml:space="preserve">评审内容  </w:t>
            </w:r>
            <w:r>
              <w:rPr>
                <w:rFonts w:hint="eastAsia" w:ascii="仿宋_GB2312" w:hAnsi="宋体" w:eastAsia="仿宋_GB2312" w:cs="仿宋_GB2312"/>
                <w:i w:val="0"/>
                <w:iCs w:val="0"/>
                <w:color w:val="000000"/>
                <w:kern w:val="0"/>
                <w:sz w:val="22"/>
                <w:szCs w:val="22"/>
                <w:u w:val="none"/>
                <w:lang w:val="en-US" w:eastAsia="zh-CN" w:bidi="ar"/>
              </w:rPr>
              <w:t xml:space="preserve">   </w:t>
            </w:r>
            <w:r>
              <w:rPr>
                <w:rFonts w:hint="default" w:ascii="仿宋_GB2312" w:hAnsi="宋体" w:eastAsia="仿宋_GB2312" w:cs="仿宋_GB2312"/>
                <w:i w:val="0"/>
                <w:iCs w:val="0"/>
                <w:color w:val="000000"/>
                <w:kern w:val="0"/>
                <w:sz w:val="22"/>
                <w:szCs w:val="22"/>
                <w:u w:val="none"/>
                <w:lang w:val="en-US" w:eastAsia="zh-CN" w:bidi="ar"/>
              </w:rPr>
              <w:t xml:space="preserve">供应商名称                                                                                                                                </w:t>
            </w:r>
          </w:p>
        </w:tc>
        <w:tc>
          <w:tcPr>
            <w:tcW w:w="1657" w:type="dxa"/>
            <w:tcBorders>
              <w:top w:val="single" w:color="000000" w:sz="4" w:space="0"/>
              <w:left w:val="single" w:color="000000" w:sz="4" w:space="0"/>
              <w:bottom w:val="single" w:color="000000" w:sz="4" w:space="0"/>
              <w:right w:val="single" w:color="000000" w:sz="4" w:space="0"/>
            </w:tcBorders>
            <w:noWrap w:val="0"/>
            <w:vAlign w:val="center"/>
          </w:tcPr>
          <w:p w14:paraId="5EBE253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泰安宏成消防器材有限公司</w:t>
            </w:r>
          </w:p>
        </w:tc>
        <w:tc>
          <w:tcPr>
            <w:tcW w:w="1859" w:type="dxa"/>
            <w:tcBorders>
              <w:top w:val="single" w:color="000000" w:sz="4" w:space="0"/>
              <w:left w:val="single" w:color="000000" w:sz="4" w:space="0"/>
              <w:bottom w:val="single" w:color="000000" w:sz="4" w:space="0"/>
              <w:right w:val="single" w:color="000000" w:sz="4" w:space="0"/>
            </w:tcBorders>
            <w:noWrap w:val="0"/>
            <w:vAlign w:val="center"/>
          </w:tcPr>
          <w:p w14:paraId="0337FCD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泰安儒亿装饰工程有限公司</w:t>
            </w:r>
          </w:p>
        </w:tc>
        <w:tc>
          <w:tcPr>
            <w:tcW w:w="1648" w:type="dxa"/>
            <w:tcBorders>
              <w:top w:val="single" w:color="000000" w:sz="4" w:space="0"/>
              <w:left w:val="single" w:color="000000" w:sz="4" w:space="0"/>
              <w:bottom w:val="single" w:color="000000" w:sz="4" w:space="0"/>
              <w:right w:val="single" w:color="000000" w:sz="4" w:space="0"/>
            </w:tcBorders>
            <w:noWrap w:val="0"/>
            <w:vAlign w:val="center"/>
          </w:tcPr>
          <w:p w14:paraId="2C44EC9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泰安市岱岳区弘建装饰工程中心</w:t>
            </w:r>
          </w:p>
        </w:tc>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2738F7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泰安市盛瀚门业有限公司</w:t>
            </w:r>
          </w:p>
        </w:tc>
      </w:tr>
      <w:tr w14:paraId="48803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29" w:type="dxa"/>
            <w:vMerge w:val="restart"/>
            <w:tcBorders>
              <w:top w:val="single" w:color="000000" w:sz="4" w:space="0"/>
              <w:left w:val="single" w:color="000000" w:sz="4" w:space="0"/>
              <w:bottom w:val="single" w:color="000000" w:sz="4" w:space="0"/>
              <w:right w:val="single" w:color="000000" w:sz="4" w:space="0"/>
            </w:tcBorders>
            <w:noWrap w:val="0"/>
            <w:vAlign w:val="center"/>
          </w:tcPr>
          <w:p w14:paraId="4371524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价格部分</w:t>
            </w:r>
          </w:p>
        </w:tc>
        <w:tc>
          <w:tcPr>
            <w:tcW w:w="2202" w:type="dxa"/>
            <w:tcBorders>
              <w:top w:val="single" w:color="000000" w:sz="4" w:space="0"/>
              <w:left w:val="single" w:color="000000" w:sz="4" w:space="0"/>
              <w:bottom w:val="single" w:color="000000" w:sz="4" w:space="0"/>
              <w:right w:val="nil"/>
            </w:tcBorders>
            <w:noWrap w:val="0"/>
            <w:vAlign w:val="center"/>
          </w:tcPr>
          <w:p w14:paraId="4846865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 xml:space="preserve">首轮报价(元) </w:t>
            </w:r>
          </w:p>
        </w:tc>
        <w:tc>
          <w:tcPr>
            <w:tcW w:w="1657" w:type="dxa"/>
            <w:tcBorders>
              <w:top w:val="single" w:color="000000" w:sz="4" w:space="0"/>
              <w:left w:val="single" w:color="000000" w:sz="4" w:space="0"/>
              <w:bottom w:val="nil"/>
              <w:right w:val="single" w:color="000000" w:sz="4" w:space="0"/>
            </w:tcBorders>
            <w:noWrap w:val="0"/>
            <w:vAlign w:val="center"/>
          </w:tcPr>
          <w:p w14:paraId="3F380C0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118631.40 </w:t>
            </w:r>
          </w:p>
        </w:tc>
        <w:tc>
          <w:tcPr>
            <w:tcW w:w="1859" w:type="dxa"/>
            <w:tcBorders>
              <w:top w:val="single" w:color="000000" w:sz="4" w:space="0"/>
              <w:left w:val="single" w:color="000000" w:sz="4" w:space="0"/>
              <w:bottom w:val="nil"/>
              <w:right w:val="single" w:color="000000" w:sz="4" w:space="0"/>
            </w:tcBorders>
            <w:noWrap w:val="0"/>
            <w:vAlign w:val="center"/>
          </w:tcPr>
          <w:p w14:paraId="2153903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118971.80 </w:t>
            </w:r>
          </w:p>
        </w:tc>
        <w:tc>
          <w:tcPr>
            <w:tcW w:w="1648" w:type="dxa"/>
            <w:tcBorders>
              <w:top w:val="single" w:color="000000" w:sz="4" w:space="0"/>
              <w:left w:val="single" w:color="000000" w:sz="4" w:space="0"/>
              <w:bottom w:val="nil"/>
              <w:right w:val="single" w:color="000000" w:sz="4" w:space="0"/>
            </w:tcBorders>
            <w:noWrap w:val="0"/>
            <w:vAlign w:val="center"/>
          </w:tcPr>
          <w:p w14:paraId="6A0B016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118820.38 </w:t>
            </w:r>
          </w:p>
        </w:tc>
        <w:tc>
          <w:tcPr>
            <w:tcW w:w="1662" w:type="dxa"/>
            <w:tcBorders>
              <w:top w:val="single" w:color="000000" w:sz="4" w:space="0"/>
              <w:left w:val="single" w:color="000000" w:sz="4" w:space="0"/>
              <w:bottom w:val="nil"/>
              <w:right w:val="single" w:color="000000" w:sz="4" w:space="0"/>
            </w:tcBorders>
            <w:noWrap w:val="0"/>
            <w:vAlign w:val="center"/>
          </w:tcPr>
          <w:p w14:paraId="053E71D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118925.33 </w:t>
            </w:r>
          </w:p>
        </w:tc>
      </w:tr>
      <w:tr w14:paraId="0E673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759E8">
            <w:pPr>
              <w:jc w:val="center"/>
              <w:rPr>
                <w:rFonts w:hint="default" w:ascii="仿宋_GB2312" w:hAnsi="宋体" w:eastAsia="仿宋_GB2312" w:cs="仿宋_GB2312"/>
                <w:i w:val="0"/>
                <w:iCs w:val="0"/>
                <w:color w:val="000000"/>
                <w:sz w:val="22"/>
                <w:szCs w:val="22"/>
                <w:u w:val="none"/>
              </w:rPr>
            </w:pPr>
          </w:p>
        </w:tc>
        <w:tc>
          <w:tcPr>
            <w:tcW w:w="2202" w:type="dxa"/>
            <w:tcBorders>
              <w:top w:val="single" w:color="000000" w:sz="4" w:space="0"/>
              <w:left w:val="single" w:color="000000" w:sz="4" w:space="0"/>
              <w:bottom w:val="single" w:color="000000" w:sz="4" w:space="0"/>
              <w:right w:val="nil"/>
            </w:tcBorders>
            <w:noWrap w:val="0"/>
            <w:vAlign w:val="center"/>
          </w:tcPr>
          <w:p w14:paraId="08E7A589">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 xml:space="preserve">最终报价(元) </w:t>
            </w:r>
          </w:p>
        </w:tc>
        <w:tc>
          <w:tcPr>
            <w:tcW w:w="1657" w:type="dxa"/>
            <w:tcBorders>
              <w:top w:val="single" w:color="000000" w:sz="4" w:space="0"/>
              <w:left w:val="single" w:color="000000" w:sz="4" w:space="0"/>
              <w:bottom w:val="nil"/>
              <w:right w:val="single" w:color="000000" w:sz="4" w:space="0"/>
            </w:tcBorders>
            <w:noWrap w:val="0"/>
            <w:vAlign w:val="center"/>
          </w:tcPr>
          <w:p w14:paraId="799B26C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115000.00 </w:t>
            </w:r>
          </w:p>
        </w:tc>
        <w:tc>
          <w:tcPr>
            <w:tcW w:w="1859" w:type="dxa"/>
            <w:tcBorders>
              <w:top w:val="single" w:color="000000" w:sz="4" w:space="0"/>
              <w:left w:val="single" w:color="000000" w:sz="4" w:space="0"/>
              <w:bottom w:val="nil"/>
              <w:right w:val="single" w:color="000000" w:sz="4" w:space="0"/>
            </w:tcBorders>
            <w:noWrap w:val="0"/>
            <w:vAlign w:val="center"/>
          </w:tcPr>
          <w:p w14:paraId="4117CB0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116500.00 </w:t>
            </w:r>
          </w:p>
        </w:tc>
        <w:tc>
          <w:tcPr>
            <w:tcW w:w="1648" w:type="dxa"/>
            <w:tcBorders>
              <w:top w:val="single" w:color="000000" w:sz="4" w:space="0"/>
              <w:left w:val="single" w:color="000000" w:sz="4" w:space="0"/>
              <w:bottom w:val="nil"/>
              <w:right w:val="single" w:color="000000" w:sz="4" w:space="0"/>
            </w:tcBorders>
            <w:noWrap w:val="0"/>
            <w:vAlign w:val="center"/>
          </w:tcPr>
          <w:p w14:paraId="1F25A2B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117600.00 </w:t>
            </w:r>
          </w:p>
        </w:tc>
        <w:tc>
          <w:tcPr>
            <w:tcW w:w="1662" w:type="dxa"/>
            <w:tcBorders>
              <w:top w:val="single" w:color="000000" w:sz="4" w:space="0"/>
              <w:left w:val="single" w:color="000000" w:sz="4" w:space="0"/>
              <w:bottom w:val="nil"/>
              <w:right w:val="single" w:color="000000" w:sz="4" w:space="0"/>
            </w:tcBorders>
            <w:noWrap w:val="0"/>
            <w:vAlign w:val="center"/>
          </w:tcPr>
          <w:p w14:paraId="569402C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118000.00 </w:t>
            </w:r>
          </w:p>
        </w:tc>
      </w:tr>
      <w:tr w14:paraId="04B67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D7487">
            <w:pPr>
              <w:jc w:val="center"/>
              <w:rPr>
                <w:rFonts w:hint="default" w:ascii="仿宋_GB2312" w:hAnsi="宋体" w:eastAsia="仿宋_GB2312" w:cs="仿宋_GB2312"/>
                <w:i w:val="0"/>
                <w:iCs w:val="0"/>
                <w:color w:val="000000"/>
                <w:sz w:val="22"/>
                <w:szCs w:val="22"/>
                <w:u w:val="none"/>
              </w:rPr>
            </w:pPr>
          </w:p>
        </w:tc>
        <w:tc>
          <w:tcPr>
            <w:tcW w:w="2202" w:type="dxa"/>
            <w:tcBorders>
              <w:top w:val="single" w:color="000000" w:sz="4" w:space="0"/>
              <w:left w:val="single" w:color="000000" w:sz="4" w:space="0"/>
              <w:bottom w:val="single" w:color="000000" w:sz="4" w:space="0"/>
              <w:right w:val="single" w:color="000000" w:sz="4" w:space="0"/>
            </w:tcBorders>
            <w:noWrap w:val="0"/>
            <w:vAlign w:val="center"/>
          </w:tcPr>
          <w:p w14:paraId="65BE3D4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得分</w:t>
            </w:r>
          </w:p>
        </w:tc>
        <w:tc>
          <w:tcPr>
            <w:tcW w:w="1657" w:type="dxa"/>
            <w:tcBorders>
              <w:top w:val="single" w:color="000000" w:sz="4" w:space="0"/>
              <w:left w:val="single" w:color="000000" w:sz="4" w:space="0"/>
              <w:bottom w:val="single" w:color="000000" w:sz="4" w:space="0"/>
              <w:right w:val="single" w:color="000000" w:sz="4" w:space="0"/>
            </w:tcBorders>
            <w:noWrap/>
            <w:vAlign w:val="center"/>
          </w:tcPr>
          <w:p w14:paraId="191873B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20.00 </w:t>
            </w:r>
          </w:p>
        </w:tc>
        <w:tc>
          <w:tcPr>
            <w:tcW w:w="1859" w:type="dxa"/>
            <w:tcBorders>
              <w:top w:val="single" w:color="000000" w:sz="4" w:space="0"/>
              <w:left w:val="single" w:color="000000" w:sz="4" w:space="0"/>
              <w:bottom w:val="single" w:color="000000" w:sz="4" w:space="0"/>
              <w:right w:val="single" w:color="000000" w:sz="4" w:space="0"/>
            </w:tcBorders>
            <w:noWrap/>
            <w:vAlign w:val="center"/>
          </w:tcPr>
          <w:p w14:paraId="2973320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19.74 </w:t>
            </w:r>
          </w:p>
        </w:tc>
        <w:tc>
          <w:tcPr>
            <w:tcW w:w="1648" w:type="dxa"/>
            <w:tcBorders>
              <w:top w:val="single" w:color="000000" w:sz="4" w:space="0"/>
              <w:left w:val="single" w:color="000000" w:sz="4" w:space="0"/>
              <w:bottom w:val="single" w:color="000000" w:sz="4" w:space="0"/>
              <w:right w:val="single" w:color="000000" w:sz="4" w:space="0"/>
            </w:tcBorders>
            <w:noWrap/>
            <w:vAlign w:val="center"/>
          </w:tcPr>
          <w:p w14:paraId="02C7BED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19.56 </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6EADF7B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19.49 </w:t>
            </w:r>
          </w:p>
        </w:tc>
      </w:tr>
      <w:tr w14:paraId="7D44E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2831" w:type="dxa"/>
            <w:gridSpan w:val="2"/>
            <w:tcBorders>
              <w:top w:val="single" w:color="000000" w:sz="4" w:space="0"/>
              <w:left w:val="single" w:color="000000" w:sz="4" w:space="0"/>
              <w:bottom w:val="single" w:color="000000" w:sz="4" w:space="0"/>
              <w:right w:val="single" w:color="000000" w:sz="4" w:space="0"/>
            </w:tcBorders>
            <w:noWrap w:val="0"/>
            <w:vAlign w:val="center"/>
          </w:tcPr>
          <w:p w14:paraId="213D4582">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技术部分</w:t>
            </w:r>
          </w:p>
        </w:tc>
        <w:tc>
          <w:tcPr>
            <w:tcW w:w="1657" w:type="dxa"/>
            <w:tcBorders>
              <w:top w:val="single" w:color="000000" w:sz="4" w:space="0"/>
              <w:left w:val="single" w:color="000000" w:sz="4" w:space="0"/>
              <w:bottom w:val="single" w:color="000000" w:sz="4" w:space="0"/>
              <w:right w:val="single" w:color="000000" w:sz="4" w:space="0"/>
            </w:tcBorders>
            <w:noWrap/>
            <w:vAlign w:val="center"/>
          </w:tcPr>
          <w:p w14:paraId="2D21DCC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57.33 </w:t>
            </w:r>
          </w:p>
        </w:tc>
        <w:tc>
          <w:tcPr>
            <w:tcW w:w="1859" w:type="dxa"/>
            <w:tcBorders>
              <w:top w:val="single" w:color="000000" w:sz="4" w:space="0"/>
              <w:left w:val="single" w:color="000000" w:sz="4" w:space="0"/>
              <w:bottom w:val="single" w:color="000000" w:sz="4" w:space="0"/>
              <w:right w:val="single" w:color="000000" w:sz="4" w:space="0"/>
            </w:tcBorders>
            <w:noWrap/>
            <w:vAlign w:val="center"/>
          </w:tcPr>
          <w:p w14:paraId="6D610082">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55.33 </w:t>
            </w:r>
          </w:p>
        </w:tc>
        <w:tc>
          <w:tcPr>
            <w:tcW w:w="1648" w:type="dxa"/>
            <w:tcBorders>
              <w:top w:val="single" w:color="000000" w:sz="4" w:space="0"/>
              <w:left w:val="single" w:color="000000" w:sz="4" w:space="0"/>
              <w:bottom w:val="single" w:color="000000" w:sz="4" w:space="0"/>
              <w:right w:val="single" w:color="000000" w:sz="4" w:space="0"/>
            </w:tcBorders>
            <w:noWrap/>
            <w:vAlign w:val="center"/>
          </w:tcPr>
          <w:p w14:paraId="441BE995">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55.83 </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3258B04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54.83 </w:t>
            </w:r>
          </w:p>
        </w:tc>
      </w:tr>
      <w:tr w14:paraId="145B3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2831" w:type="dxa"/>
            <w:gridSpan w:val="2"/>
            <w:tcBorders>
              <w:top w:val="single" w:color="000000" w:sz="4" w:space="0"/>
              <w:left w:val="single" w:color="000000" w:sz="4" w:space="0"/>
              <w:bottom w:val="single" w:color="000000" w:sz="4" w:space="0"/>
              <w:right w:val="single" w:color="000000" w:sz="4" w:space="0"/>
            </w:tcBorders>
            <w:noWrap w:val="0"/>
            <w:vAlign w:val="center"/>
          </w:tcPr>
          <w:p w14:paraId="5F0BB203">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商务部分</w:t>
            </w:r>
          </w:p>
        </w:tc>
        <w:tc>
          <w:tcPr>
            <w:tcW w:w="1657" w:type="dxa"/>
            <w:tcBorders>
              <w:top w:val="single" w:color="000000" w:sz="4" w:space="0"/>
              <w:left w:val="single" w:color="000000" w:sz="4" w:space="0"/>
              <w:bottom w:val="single" w:color="000000" w:sz="4" w:space="0"/>
              <w:right w:val="single" w:color="000000" w:sz="4" w:space="0"/>
            </w:tcBorders>
            <w:noWrap/>
            <w:vAlign w:val="center"/>
          </w:tcPr>
          <w:p w14:paraId="643E70F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11.00 </w:t>
            </w:r>
          </w:p>
        </w:tc>
        <w:tc>
          <w:tcPr>
            <w:tcW w:w="1859" w:type="dxa"/>
            <w:tcBorders>
              <w:top w:val="single" w:color="000000" w:sz="4" w:space="0"/>
              <w:left w:val="single" w:color="000000" w:sz="4" w:space="0"/>
              <w:bottom w:val="single" w:color="000000" w:sz="4" w:space="0"/>
              <w:right w:val="single" w:color="000000" w:sz="4" w:space="0"/>
            </w:tcBorders>
            <w:noWrap/>
            <w:vAlign w:val="center"/>
          </w:tcPr>
          <w:p w14:paraId="1C75CE6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11.00 </w:t>
            </w:r>
          </w:p>
        </w:tc>
        <w:tc>
          <w:tcPr>
            <w:tcW w:w="1648" w:type="dxa"/>
            <w:tcBorders>
              <w:top w:val="single" w:color="000000" w:sz="4" w:space="0"/>
              <w:left w:val="single" w:color="000000" w:sz="4" w:space="0"/>
              <w:bottom w:val="single" w:color="000000" w:sz="4" w:space="0"/>
              <w:right w:val="single" w:color="000000" w:sz="4" w:space="0"/>
            </w:tcBorders>
            <w:noWrap/>
            <w:vAlign w:val="center"/>
          </w:tcPr>
          <w:p w14:paraId="48D43C0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10.50 </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6C8B802E">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9.50 </w:t>
            </w:r>
          </w:p>
        </w:tc>
      </w:tr>
      <w:tr w14:paraId="6CD9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831" w:type="dxa"/>
            <w:gridSpan w:val="2"/>
            <w:tcBorders>
              <w:top w:val="single" w:color="000000" w:sz="4" w:space="0"/>
              <w:left w:val="single" w:color="000000" w:sz="4" w:space="0"/>
              <w:bottom w:val="single" w:color="000000" w:sz="4" w:space="0"/>
              <w:right w:val="single" w:color="000000" w:sz="4" w:space="0"/>
            </w:tcBorders>
            <w:noWrap/>
            <w:vAlign w:val="center"/>
          </w:tcPr>
          <w:p w14:paraId="64C0A14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合计</w:t>
            </w:r>
          </w:p>
        </w:tc>
        <w:tc>
          <w:tcPr>
            <w:tcW w:w="1657" w:type="dxa"/>
            <w:tcBorders>
              <w:top w:val="single" w:color="000000" w:sz="4" w:space="0"/>
              <w:left w:val="single" w:color="000000" w:sz="4" w:space="0"/>
              <w:bottom w:val="single" w:color="000000" w:sz="4" w:space="0"/>
              <w:right w:val="single" w:color="000000" w:sz="4" w:space="0"/>
            </w:tcBorders>
            <w:noWrap/>
            <w:vAlign w:val="center"/>
          </w:tcPr>
          <w:p w14:paraId="514E8B1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88.33 </w:t>
            </w:r>
          </w:p>
        </w:tc>
        <w:tc>
          <w:tcPr>
            <w:tcW w:w="1859" w:type="dxa"/>
            <w:tcBorders>
              <w:top w:val="single" w:color="000000" w:sz="4" w:space="0"/>
              <w:left w:val="single" w:color="000000" w:sz="4" w:space="0"/>
              <w:bottom w:val="single" w:color="000000" w:sz="4" w:space="0"/>
              <w:right w:val="single" w:color="000000" w:sz="4" w:space="0"/>
            </w:tcBorders>
            <w:noWrap/>
            <w:vAlign w:val="center"/>
          </w:tcPr>
          <w:p w14:paraId="1247046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86.08 </w:t>
            </w:r>
          </w:p>
        </w:tc>
        <w:tc>
          <w:tcPr>
            <w:tcW w:w="1648" w:type="dxa"/>
            <w:tcBorders>
              <w:top w:val="single" w:color="000000" w:sz="4" w:space="0"/>
              <w:left w:val="single" w:color="000000" w:sz="4" w:space="0"/>
              <w:bottom w:val="single" w:color="000000" w:sz="4" w:space="0"/>
              <w:right w:val="single" w:color="000000" w:sz="4" w:space="0"/>
            </w:tcBorders>
            <w:noWrap/>
            <w:vAlign w:val="center"/>
          </w:tcPr>
          <w:p w14:paraId="44D622F6">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85.89 </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362757D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83.82 </w:t>
            </w:r>
          </w:p>
        </w:tc>
      </w:tr>
    </w:tbl>
    <w:p w14:paraId="324564FE">
      <w:pPr>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2、未成交供应商的未成交原因：</w:t>
      </w:r>
    </w:p>
    <w:p w14:paraId="3F4F9535">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_GB2312" w:hAnsi="宋体" w:eastAsia="仿宋_GB2312" w:cs="宋体"/>
          <w:kern w:val="0"/>
          <w:sz w:val="28"/>
          <w:szCs w:val="28"/>
          <w:lang w:eastAsia="zh-CN"/>
        </w:rPr>
      </w:pPr>
      <w:r>
        <w:rPr>
          <w:rFonts w:hint="eastAsia" w:ascii="仿宋_GB2312" w:hAnsi="宋体" w:eastAsia="仿宋_GB2312" w:cs="宋体"/>
          <w:kern w:val="0"/>
          <w:sz w:val="28"/>
          <w:szCs w:val="28"/>
        </w:rPr>
        <w:t>泰安儒亿装饰工程有限公司：经专家评审综合得分低；泰安市岱岳区弘建装饰工程中心：经专家评审综合得分低</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rPr>
        <w:t>泰安市盛瀚门业有限公司</w:t>
      </w:r>
      <w:r>
        <w:rPr>
          <w:rFonts w:hint="eastAsia" w:ascii="仿宋_GB2312" w:hAnsi="宋体" w:eastAsia="仿宋_GB2312" w:cs="宋体"/>
          <w:kern w:val="0"/>
          <w:sz w:val="28"/>
          <w:szCs w:val="28"/>
          <w:lang w:val="en-US" w:eastAsia="zh-CN"/>
        </w:rPr>
        <w:t>：</w:t>
      </w:r>
      <w:r>
        <w:rPr>
          <w:rFonts w:hint="eastAsia" w:ascii="仿宋_GB2312" w:hAnsi="宋体" w:eastAsia="仿宋_GB2312" w:cs="宋体"/>
          <w:kern w:val="0"/>
          <w:sz w:val="28"/>
          <w:szCs w:val="28"/>
        </w:rPr>
        <w:t>经专家评审综合得分低</w:t>
      </w:r>
      <w:r>
        <w:rPr>
          <w:rFonts w:hint="eastAsia" w:ascii="仿宋_GB2312" w:hAnsi="宋体" w:eastAsia="仿宋_GB2312" w:cs="宋体"/>
          <w:kern w:val="0"/>
          <w:sz w:val="28"/>
          <w:szCs w:val="28"/>
          <w:lang w:eastAsia="zh-CN"/>
        </w:rPr>
        <w:t>。</w:t>
      </w:r>
    </w:p>
    <w:p w14:paraId="095543A9">
      <w:pPr>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cs="宋体"/>
          <w:kern w:val="0"/>
          <w:sz w:val="28"/>
          <w:szCs w:val="28"/>
        </w:rPr>
      </w:pPr>
      <w:r>
        <w:rPr>
          <w:rFonts w:hint="eastAsia" w:ascii="黑体" w:hAnsi="黑体" w:eastAsia="黑体" w:cs="宋体"/>
          <w:kern w:val="0"/>
          <w:sz w:val="28"/>
          <w:szCs w:val="28"/>
          <w:lang w:val="en-US" w:eastAsia="zh-CN"/>
        </w:rPr>
        <w:t>八</w:t>
      </w:r>
      <w:r>
        <w:rPr>
          <w:rFonts w:hint="eastAsia" w:ascii="黑体" w:hAnsi="黑体" w:eastAsia="黑体" w:cs="宋体"/>
          <w:kern w:val="0"/>
          <w:sz w:val="28"/>
          <w:szCs w:val="28"/>
        </w:rPr>
        <w:t>、凡对本次公告内容提出询问，请按以下方式联系</w:t>
      </w:r>
    </w:p>
    <w:p w14:paraId="269F6487">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1.采购人信息</w:t>
      </w:r>
    </w:p>
    <w:p w14:paraId="43590F00">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名称：山东省泰安英雄山中学</w:t>
      </w:r>
    </w:p>
    <w:p w14:paraId="71B64256">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地址：泰安市英才街11号</w:t>
      </w:r>
    </w:p>
    <w:p w14:paraId="7335F24D">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联系方式：0538-8565689</w:t>
      </w:r>
    </w:p>
    <w:p w14:paraId="07DEEA93">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2.采购代理机构信息</w:t>
      </w:r>
    </w:p>
    <w:p w14:paraId="3F44156D">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 xml:space="preserve">名称：山东思远工程管理服务有限公司  </w:t>
      </w:r>
    </w:p>
    <w:p w14:paraId="6C7B39AF">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 xml:space="preserve">地址：泰安市泰山区创业大街47号中天大厦802室 </w:t>
      </w:r>
    </w:p>
    <w:p w14:paraId="0A5E53E8">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联系方式：0538-6118611</w:t>
      </w:r>
    </w:p>
    <w:p w14:paraId="40F483F3">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textAlignment w:val="auto"/>
        <w:rPr>
          <w:rFonts w:hint="eastAsia" w:ascii="仿宋_GB2312" w:hAnsi="宋体" w:eastAsia="仿宋_GB2312" w:cs="宋体"/>
          <w:kern w:val="0"/>
          <w:sz w:val="28"/>
          <w:szCs w:val="28"/>
          <w:lang w:val="en-US" w:eastAsia="zh-CN"/>
        </w:rPr>
      </w:pPr>
    </w:p>
    <w:p w14:paraId="52E4B5B4">
      <w:pPr>
        <w:keepLines w:val="0"/>
        <w:pageBreakBefore w:val="0"/>
        <w:widowControl w:val="0"/>
        <w:kinsoku w:val="0"/>
        <w:wordWrap/>
        <w:overflowPunct w:val="0"/>
        <w:topLinePunct w:val="0"/>
        <w:autoSpaceDE w:val="0"/>
        <w:autoSpaceDN w:val="0"/>
        <w:bidi w:val="0"/>
        <w:adjustRightInd w:val="0"/>
        <w:snapToGrid w:val="0"/>
        <w:spacing w:line="360" w:lineRule="auto"/>
        <w:ind w:firstLine="840" w:firstLineChars="300"/>
        <w:jc w:val="right"/>
        <w:textAlignment w:val="auto"/>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bookmarkEnd w:id="0"/>
    </w:p>
    <w:sectPr>
      <w:pgSz w:w="11906" w:h="16838"/>
      <w:pgMar w:top="1468" w:right="1208" w:bottom="1406" w:left="13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
    <w:altName w:val="宋体"/>
    <w:panose1 w:val="00000000000000000000"/>
    <w:charset w:val="81"/>
    <w:family w:val="auto"/>
    <w:pitch w:val="default"/>
    <w:sig w:usb0="00000000" w:usb1="00000000" w:usb2="00000010" w:usb3="00000000" w:csb0="0008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dlYzdiZjNjYWIzOWIwY2M0MzQyMGY2ZDAyYjFiMjMifQ=="/>
  </w:docVars>
  <w:rsids>
    <w:rsidRoot w:val="0058660E"/>
    <w:rsid w:val="00046385"/>
    <w:rsid w:val="00106B47"/>
    <w:rsid w:val="001133C9"/>
    <w:rsid w:val="00114705"/>
    <w:rsid w:val="00130420"/>
    <w:rsid w:val="00151256"/>
    <w:rsid w:val="0019120B"/>
    <w:rsid w:val="001B02C3"/>
    <w:rsid w:val="001C7EB3"/>
    <w:rsid w:val="002600FE"/>
    <w:rsid w:val="002859E0"/>
    <w:rsid w:val="002A0A6B"/>
    <w:rsid w:val="002E73EA"/>
    <w:rsid w:val="003A023A"/>
    <w:rsid w:val="00450B27"/>
    <w:rsid w:val="0048729B"/>
    <w:rsid w:val="004A72F2"/>
    <w:rsid w:val="004C4F34"/>
    <w:rsid w:val="005548D6"/>
    <w:rsid w:val="00564FD3"/>
    <w:rsid w:val="0058660E"/>
    <w:rsid w:val="0058677A"/>
    <w:rsid w:val="005A706C"/>
    <w:rsid w:val="005B2432"/>
    <w:rsid w:val="005D3E15"/>
    <w:rsid w:val="005D58BB"/>
    <w:rsid w:val="00605563"/>
    <w:rsid w:val="00650108"/>
    <w:rsid w:val="00662C71"/>
    <w:rsid w:val="006E6607"/>
    <w:rsid w:val="00784B2C"/>
    <w:rsid w:val="007A2AE6"/>
    <w:rsid w:val="00861047"/>
    <w:rsid w:val="0087471C"/>
    <w:rsid w:val="008D153A"/>
    <w:rsid w:val="008E47B3"/>
    <w:rsid w:val="00941BB0"/>
    <w:rsid w:val="00996DDF"/>
    <w:rsid w:val="009E36DB"/>
    <w:rsid w:val="00A465F6"/>
    <w:rsid w:val="00A76921"/>
    <w:rsid w:val="00A830A3"/>
    <w:rsid w:val="00AB7AD3"/>
    <w:rsid w:val="00BD264E"/>
    <w:rsid w:val="00BF0341"/>
    <w:rsid w:val="00C16261"/>
    <w:rsid w:val="00C31555"/>
    <w:rsid w:val="00C87187"/>
    <w:rsid w:val="00CB4E1B"/>
    <w:rsid w:val="00CB5CC2"/>
    <w:rsid w:val="00D81DB9"/>
    <w:rsid w:val="00DB71CC"/>
    <w:rsid w:val="00E30D47"/>
    <w:rsid w:val="00E54808"/>
    <w:rsid w:val="00E601C1"/>
    <w:rsid w:val="00EB6B4F"/>
    <w:rsid w:val="00ED4F2B"/>
    <w:rsid w:val="00F0625D"/>
    <w:rsid w:val="00F136E5"/>
    <w:rsid w:val="00FE574A"/>
    <w:rsid w:val="016C2D4F"/>
    <w:rsid w:val="01AD7ABA"/>
    <w:rsid w:val="01DF16C0"/>
    <w:rsid w:val="03977D94"/>
    <w:rsid w:val="055337AC"/>
    <w:rsid w:val="05D07B38"/>
    <w:rsid w:val="07ED2D85"/>
    <w:rsid w:val="0AEE08BD"/>
    <w:rsid w:val="0B7A6A6C"/>
    <w:rsid w:val="0BB15077"/>
    <w:rsid w:val="0D35628D"/>
    <w:rsid w:val="0D81467E"/>
    <w:rsid w:val="0F285FD9"/>
    <w:rsid w:val="119D3F3E"/>
    <w:rsid w:val="11A208B1"/>
    <w:rsid w:val="15763CE7"/>
    <w:rsid w:val="15FD1535"/>
    <w:rsid w:val="165D6D83"/>
    <w:rsid w:val="16742019"/>
    <w:rsid w:val="167A788D"/>
    <w:rsid w:val="18531789"/>
    <w:rsid w:val="1A946BD1"/>
    <w:rsid w:val="1B943152"/>
    <w:rsid w:val="1D75347B"/>
    <w:rsid w:val="1D822757"/>
    <w:rsid w:val="1E2D1660"/>
    <w:rsid w:val="201B5F9C"/>
    <w:rsid w:val="235A561C"/>
    <w:rsid w:val="24AA7744"/>
    <w:rsid w:val="24C62B07"/>
    <w:rsid w:val="24DB121F"/>
    <w:rsid w:val="250140C4"/>
    <w:rsid w:val="254F5162"/>
    <w:rsid w:val="25D80415"/>
    <w:rsid w:val="270326A7"/>
    <w:rsid w:val="273E04E0"/>
    <w:rsid w:val="2830016F"/>
    <w:rsid w:val="28A01BEE"/>
    <w:rsid w:val="292B1803"/>
    <w:rsid w:val="2A873625"/>
    <w:rsid w:val="2ADD6094"/>
    <w:rsid w:val="2BC27887"/>
    <w:rsid w:val="2D3A20AE"/>
    <w:rsid w:val="2F3550F1"/>
    <w:rsid w:val="2F434040"/>
    <w:rsid w:val="30081893"/>
    <w:rsid w:val="318751C4"/>
    <w:rsid w:val="336D27F6"/>
    <w:rsid w:val="33CB15E9"/>
    <w:rsid w:val="342644AD"/>
    <w:rsid w:val="390111E9"/>
    <w:rsid w:val="390F12F8"/>
    <w:rsid w:val="3A1B4F4A"/>
    <w:rsid w:val="3B162A8C"/>
    <w:rsid w:val="3B6F6827"/>
    <w:rsid w:val="3C625464"/>
    <w:rsid w:val="3D935881"/>
    <w:rsid w:val="3EA115F5"/>
    <w:rsid w:val="3EFA1F51"/>
    <w:rsid w:val="402E5BBE"/>
    <w:rsid w:val="40584AEA"/>
    <w:rsid w:val="40BF3A26"/>
    <w:rsid w:val="4108602E"/>
    <w:rsid w:val="429901FC"/>
    <w:rsid w:val="42CC34FF"/>
    <w:rsid w:val="43D063F3"/>
    <w:rsid w:val="458B67D3"/>
    <w:rsid w:val="4C1F1672"/>
    <w:rsid w:val="4DB35F45"/>
    <w:rsid w:val="4E3521C0"/>
    <w:rsid w:val="4FD00000"/>
    <w:rsid w:val="510C0980"/>
    <w:rsid w:val="52715EA9"/>
    <w:rsid w:val="52756DE4"/>
    <w:rsid w:val="52B42C7F"/>
    <w:rsid w:val="53504C42"/>
    <w:rsid w:val="549F3EFA"/>
    <w:rsid w:val="54AF16A5"/>
    <w:rsid w:val="54F2268B"/>
    <w:rsid w:val="550F2E5F"/>
    <w:rsid w:val="55956FCC"/>
    <w:rsid w:val="58FD72D2"/>
    <w:rsid w:val="59AD6E02"/>
    <w:rsid w:val="5BB54E91"/>
    <w:rsid w:val="5D6145CA"/>
    <w:rsid w:val="5D706F32"/>
    <w:rsid w:val="5DB20066"/>
    <w:rsid w:val="5DE644D0"/>
    <w:rsid w:val="5E086AD1"/>
    <w:rsid w:val="5F0F51BD"/>
    <w:rsid w:val="5F4207BE"/>
    <w:rsid w:val="5F701A7D"/>
    <w:rsid w:val="60534A05"/>
    <w:rsid w:val="6247406C"/>
    <w:rsid w:val="673B2B6F"/>
    <w:rsid w:val="68752960"/>
    <w:rsid w:val="69051435"/>
    <w:rsid w:val="69490132"/>
    <w:rsid w:val="69C5559D"/>
    <w:rsid w:val="6A2315D2"/>
    <w:rsid w:val="6BC50C49"/>
    <w:rsid w:val="6D475B1F"/>
    <w:rsid w:val="6D820C92"/>
    <w:rsid w:val="6DF51C3C"/>
    <w:rsid w:val="6EAF7553"/>
    <w:rsid w:val="70423578"/>
    <w:rsid w:val="71357785"/>
    <w:rsid w:val="71523791"/>
    <w:rsid w:val="72A326A1"/>
    <w:rsid w:val="73516D84"/>
    <w:rsid w:val="73821ED3"/>
    <w:rsid w:val="73D07AAE"/>
    <w:rsid w:val="73E94440"/>
    <w:rsid w:val="784B4DE7"/>
    <w:rsid w:val="79451CCE"/>
    <w:rsid w:val="7A603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toa heading"/>
    <w:basedOn w:val="1"/>
    <w:next w:val="1"/>
    <w:autoRedefine/>
    <w:qFormat/>
    <w:uiPriority w:val="99"/>
    <w:rPr>
      <w:rFonts w:ascii="Arial" w:hAnsi="Arial"/>
      <w:sz w:val="24"/>
      <w:szCs w:val="20"/>
    </w:rPr>
  </w:style>
  <w:style w:type="paragraph" w:styleId="6">
    <w:name w:val="Body Text Indent"/>
    <w:basedOn w:val="1"/>
    <w:autoRedefine/>
    <w:unhideWhenUsed/>
    <w:qFormat/>
    <w:uiPriority w:val="99"/>
    <w:pPr>
      <w:spacing w:after="120"/>
      <w:ind w:left="420" w:leftChars="200"/>
    </w:pPr>
  </w:style>
  <w:style w:type="paragraph" w:styleId="7">
    <w:name w:val="Plain Text"/>
    <w:basedOn w:val="1"/>
    <w:autoRedefine/>
    <w:qFormat/>
    <w:uiPriority w:val="0"/>
    <w:rPr>
      <w:rFonts w:ascii="宋体" w:hAnsi="Courier New"/>
    </w:rPr>
  </w:style>
  <w:style w:type="paragraph" w:styleId="8">
    <w:name w:val="Balloon Text"/>
    <w:basedOn w:val="1"/>
    <w:link w:val="20"/>
    <w:autoRedefine/>
    <w:unhideWhenUsed/>
    <w:qFormat/>
    <w:uiPriority w:val="99"/>
    <w:rPr>
      <w:sz w:val="18"/>
      <w:szCs w:val="18"/>
    </w:rPr>
  </w:style>
  <w:style w:type="paragraph" w:styleId="9">
    <w:name w:val="footer"/>
    <w:basedOn w:val="1"/>
    <w:link w:val="19"/>
    <w:autoRedefine/>
    <w:unhideWhenUsed/>
    <w:qFormat/>
    <w:uiPriority w:val="99"/>
    <w:pPr>
      <w:tabs>
        <w:tab w:val="center" w:pos="4153"/>
        <w:tab w:val="right" w:pos="8306"/>
      </w:tabs>
      <w:snapToGrid w:val="0"/>
      <w:jc w:val="left"/>
    </w:pPr>
    <w:rPr>
      <w:sz w:val="18"/>
      <w:szCs w:val="18"/>
    </w:rPr>
  </w:style>
  <w:style w:type="paragraph" w:styleId="10">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spacing w:before="100" w:beforeAutospacing="1" w:after="100" w:afterAutospacing="1"/>
      <w:jc w:val="left"/>
    </w:pPr>
    <w:rPr>
      <w:rFonts w:cs="Times New Roman"/>
      <w:kern w:val="0"/>
      <w:sz w:val="24"/>
    </w:rPr>
  </w:style>
  <w:style w:type="paragraph" w:styleId="12">
    <w:name w:val="Body Text First Indent 2"/>
    <w:basedOn w:val="6"/>
    <w:autoRedefine/>
    <w:qFormat/>
    <w:uiPriority w:val="99"/>
    <w:pPr>
      <w:ind w:firstLine="420" w:firstLineChars="200"/>
    </w:pPr>
    <w:rPr>
      <w:rFonts w:ascii="Times New Roman" w:eastAsia="宋?"/>
      <w:szCs w:val="24"/>
    </w:rPr>
  </w:style>
  <w:style w:type="table" w:styleId="14">
    <w:name w:val="Table Grid"/>
    <w:basedOn w:val="13"/>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Default"/>
    <w:autoRedefine/>
    <w:unhideWhenUsed/>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17">
    <w:name w:val="No Spacing1"/>
    <w:autoRedefine/>
    <w:qFormat/>
    <w:uiPriority w:val="99"/>
    <w:pPr>
      <w:widowControl w:val="0"/>
      <w:jc w:val="both"/>
    </w:pPr>
    <w:rPr>
      <w:rFonts w:ascii="Calibri" w:hAnsi="Calibri" w:eastAsia="等线" w:cs="等线"/>
      <w:kern w:val="2"/>
      <w:sz w:val="21"/>
      <w:szCs w:val="22"/>
      <w:lang w:val="en-US" w:eastAsia="zh-CN" w:bidi="ar-SA"/>
    </w:rPr>
  </w:style>
  <w:style w:type="character" w:customStyle="1" w:styleId="18">
    <w:name w:val="页眉 Char"/>
    <w:basedOn w:val="15"/>
    <w:link w:val="10"/>
    <w:autoRedefine/>
    <w:qFormat/>
    <w:uiPriority w:val="99"/>
    <w:rPr>
      <w:sz w:val="18"/>
      <w:szCs w:val="18"/>
    </w:rPr>
  </w:style>
  <w:style w:type="character" w:customStyle="1" w:styleId="19">
    <w:name w:val="页脚 Char"/>
    <w:basedOn w:val="15"/>
    <w:link w:val="9"/>
    <w:autoRedefine/>
    <w:qFormat/>
    <w:uiPriority w:val="99"/>
    <w:rPr>
      <w:sz w:val="18"/>
      <w:szCs w:val="18"/>
    </w:rPr>
  </w:style>
  <w:style w:type="character" w:customStyle="1" w:styleId="20">
    <w:name w:val="批注框文本 Char"/>
    <w:basedOn w:val="15"/>
    <w:link w:val="8"/>
    <w:autoRedefine/>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642</Words>
  <Characters>827</Characters>
  <Lines>8</Lines>
  <Paragraphs>2</Paragraphs>
  <TotalTime>1</TotalTime>
  <ScaleCrop>false</ScaleCrop>
  <LinksUpToDate>false</LinksUpToDate>
  <CharactersWithSpaces>1439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2018-07-06T04:10:00Z</dcterms:created>
  <dc:creator>NTKO</dc:creator>
  <cp:lastModifiedBy>pc</cp:lastModifiedBy>
  <cp:lastPrinted>2024-03-13T07:43:00Z</cp:lastPrinted>
  <dcterms:modified xsi:type="dcterms:W3CDTF">2026-07-14T07:51:38Z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1E7A36FC67D34B71BFDEC8E8D1EBC2B1</vt:lpwstr>
  </property>
  <property fmtid="{D5CDD505-2E9C-101B-9397-08002B2CF9AE}" pid="4" name="KSOTemplateDocerSaveRecord">
    <vt:lpwstr>eyJoZGlkIjoiMjZmYmYxYTg0Mzg4YWFmMTEzYzU1NGFiYzkyZmQ2NjkiLCJ1c2VySWQiOiI3NzM1MDM0MjYifQ==</vt:lpwstr>
  </property>
</Properties>
</file>