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DAEEB3">
      <w:pPr>
        <w:overflowPunct w:val="0"/>
        <w:autoSpaceDE w:val="0"/>
        <w:autoSpaceDN w:val="0"/>
        <w:adjustRightInd w:val="0"/>
        <w:snapToGrid w:val="0"/>
        <w:spacing w:line="360" w:lineRule="auto"/>
        <w:jc w:val="center"/>
        <w:rPr>
          <w:rFonts w:hint="eastAsia" w:ascii="黑体" w:hAnsi="黑体" w:eastAsia="黑体"/>
          <w:sz w:val="36"/>
          <w:szCs w:val="36"/>
        </w:rPr>
      </w:pPr>
      <w:bookmarkStart w:id="0" w:name="OLE_LINK1"/>
      <w:r>
        <w:rPr>
          <w:rFonts w:hint="eastAsia" w:ascii="黑体" w:hAnsi="黑体" w:eastAsia="黑体"/>
          <w:sz w:val="36"/>
          <w:szCs w:val="36"/>
        </w:rPr>
        <w:t>山东省泰安英雄山中学科技楼自来水管道更换项目</w:t>
      </w:r>
    </w:p>
    <w:p w14:paraId="6216AAA4">
      <w:pPr>
        <w:overflowPunct w:val="0"/>
        <w:autoSpaceDE w:val="0"/>
        <w:autoSpaceDN w:val="0"/>
        <w:adjustRightInd w:val="0"/>
        <w:snapToGrid w:val="0"/>
        <w:spacing w:line="360" w:lineRule="auto"/>
        <w:jc w:val="center"/>
        <w:rPr>
          <w:rFonts w:hint="eastAsia" w:ascii="黑体" w:hAnsi="黑体" w:eastAsia="黑体"/>
          <w:sz w:val="36"/>
          <w:szCs w:val="36"/>
          <w:lang w:val="zh-CN"/>
        </w:rPr>
      </w:pPr>
      <w:r>
        <w:rPr>
          <w:rFonts w:hint="eastAsia" w:ascii="黑体" w:hAnsi="黑体" w:eastAsia="黑体"/>
          <w:sz w:val="36"/>
          <w:szCs w:val="36"/>
        </w:rPr>
        <w:t>成交结果</w:t>
      </w:r>
      <w:r>
        <w:rPr>
          <w:rFonts w:hint="eastAsia" w:ascii="黑体" w:hAnsi="黑体" w:eastAsia="黑体"/>
          <w:sz w:val="36"/>
          <w:szCs w:val="36"/>
          <w:lang w:val="zh-CN"/>
        </w:rPr>
        <w:t>公告</w:t>
      </w:r>
    </w:p>
    <w:p w14:paraId="2EB27148">
      <w:pPr>
        <w:pStyle w:val="16"/>
      </w:pPr>
    </w:p>
    <w:p w14:paraId="659BCF64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auto"/>
        <w:rPr>
          <w:rFonts w:hint="eastAsia" w:ascii="仿宋" w:hAnsi="仿宋" w:eastAsia="仿宋"/>
          <w:sz w:val="28"/>
          <w:szCs w:val="28"/>
          <w:lang w:val="zh-CN" w:eastAsia="zh-CN"/>
        </w:rPr>
      </w:pPr>
      <w:r>
        <w:rPr>
          <w:rFonts w:hint="eastAsia" w:ascii="黑体" w:hAnsi="黑体" w:eastAsia="黑体"/>
          <w:sz w:val="28"/>
          <w:szCs w:val="28"/>
        </w:rPr>
        <w:t>一</w:t>
      </w:r>
      <w:r>
        <w:rPr>
          <w:rFonts w:ascii="黑体" w:hAnsi="黑体" w:eastAsia="黑体"/>
          <w:sz w:val="28"/>
          <w:szCs w:val="28"/>
        </w:rPr>
        <w:t>、</w:t>
      </w:r>
      <w:r>
        <w:rPr>
          <w:rFonts w:hint="eastAsia" w:ascii="黑体" w:hAnsi="黑体" w:eastAsia="黑体"/>
          <w:sz w:val="28"/>
          <w:szCs w:val="28"/>
        </w:rPr>
        <w:t>项目编号：</w:t>
      </w:r>
      <w:r>
        <w:rPr>
          <w:rFonts w:hint="eastAsia" w:ascii="仿宋_GB2312" w:hAnsi="仿宋_GB2312" w:eastAsia="仿宋_GB2312" w:cs="仿宋_GB2312"/>
          <w:sz w:val="28"/>
          <w:szCs w:val="28"/>
          <w:lang w:val="zh-CN"/>
        </w:rPr>
        <w:t>SDSYCG2025-09-75</w:t>
      </w:r>
    </w:p>
    <w:p w14:paraId="0312BE67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auto"/>
        <w:rPr>
          <w:rFonts w:hint="eastAsia" w:ascii="仿宋" w:hAnsi="仿宋" w:eastAsia="仿宋"/>
          <w:sz w:val="28"/>
          <w:szCs w:val="28"/>
          <w:lang w:val="zh-CN" w:eastAsia="zh-CN"/>
        </w:rPr>
      </w:pPr>
      <w:r>
        <w:rPr>
          <w:rFonts w:hint="eastAsia" w:ascii="黑体" w:hAnsi="黑体" w:eastAsia="黑体"/>
          <w:sz w:val="28"/>
          <w:szCs w:val="28"/>
        </w:rPr>
        <w:t>二</w:t>
      </w:r>
      <w:r>
        <w:rPr>
          <w:rFonts w:ascii="黑体" w:hAnsi="黑体" w:eastAsia="黑体"/>
          <w:sz w:val="28"/>
          <w:szCs w:val="28"/>
        </w:rPr>
        <w:t>、</w:t>
      </w:r>
      <w:r>
        <w:rPr>
          <w:rFonts w:hint="eastAsia" w:ascii="黑体" w:hAnsi="黑体" w:eastAsia="黑体"/>
          <w:sz w:val="28"/>
          <w:szCs w:val="28"/>
        </w:rPr>
        <w:t>项目名称：</w:t>
      </w:r>
      <w:r>
        <w:rPr>
          <w:rFonts w:hint="eastAsia" w:ascii="仿宋_GB2312" w:hAnsi="宋体" w:eastAsia="仿宋_GB2312" w:cs="宋体"/>
          <w:sz w:val="28"/>
          <w:szCs w:val="28"/>
          <w:lang w:val="zh-CN" w:eastAsia="zh-CN"/>
        </w:rPr>
        <w:t>山东省泰安英雄山中学科技楼自来水管道更换项目</w:t>
      </w:r>
    </w:p>
    <w:p w14:paraId="0234E33F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auto"/>
        <w:rPr>
          <w:rFonts w:ascii="黑体" w:hAnsi="黑体" w:eastAsia="黑体"/>
          <w:sz w:val="28"/>
          <w:szCs w:val="28"/>
          <w:highlight w:val="none"/>
        </w:rPr>
      </w:pPr>
      <w:r>
        <w:rPr>
          <w:rFonts w:hint="eastAsia" w:ascii="黑体" w:hAnsi="黑体" w:eastAsia="黑体"/>
          <w:sz w:val="28"/>
          <w:szCs w:val="28"/>
        </w:rPr>
        <w:t>三、成交</w:t>
      </w:r>
      <w:r>
        <w:rPr>
          <w:rFonts w:hint="eastAsia" w:ascii="黑体" w:hAnsi="黑体" w:eastAsia="黑体"/>
          <w:sz w:val="28"/>
          <w:szCs w:val="28"/>
          <w:highlight w:val="none"/>
        </w:rPr>
        <w:t>信息</w:t>
      </w:r>
    </w:p>
    <w:p w14:paraId="169DE565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供应商名称：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泰安市泰山区山海建筑工程部</w:t>
      </w:r>
    </w:p>
    <w:p w14:paraId="5536300B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供应商地</w:t>
      </w:r>
      <w:r>
        <w:rPr>
          <w:rFonts w:hint="eastAsia" w:ascii="仿宋" w:hAnsi="仿宋" w:eastAsia="仿宋"/>
          <w:sz w:val="28"/>
          <w:szCs w:val="28"/>
          <w:highlight w:val="none"/>
          <w:u w:val="none"/>
        </w:rPr>
        <w:t>址：山东省泰安市泰山区南关金桂园市场65号（05）</w:t>
      </w:r>
    </w:p>
    <w:p w14:paraId="6C64CCF7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  <w:u w:val="none"/>
        </w:rPr>
        <w:t>成交金额</w:t>
      </w:r>
      <w:r>
        <w:rPr>
          <w:rFonts w:hint="eastAsia" w:ascii="仿宋" w:hAnsi="仿宋" w:eastAsia="仿宋"/>
          <w:sz w:val="28"/>
          <w:szCs w:val="28"/>
          <w:highlight w:val="none"/>
          <w:u w:val="none"/>
          <w:lang w:eastAsia="zh-CN"/>
        </w:rPr>
        <w:t>：</w:t>
      </w:r>
      <w:r>
        <w:rPr>
          <w:rFonts w:hint="eastAsia" w:ascii="仿宋" w:hAnsi="仿宋" w:eastAsia="仿宋"/>
          <w:sz w:val="28"/>
          <w:szCs w:val="28"/>
          <w:highlight w:val="none"/>
          <w:u w:val="none"/>
          <w:lang w:val="en-US" w:eastAsia="zh-CN"/>
        </w:rPr>
        <w:t>194000.00</w:t>
      </w:r>
      <w:r>
        <w:rPr>
          <w:rFonts w:hint="eastAsia" w:ascii="仿宋_GB2312" w:hAnsi="楷体" w:eastAsia="仿宋_GB2312" w:cs="Times New Roman"/>
          <w:sz w:val="28"/>
          <w:szCs w:val="28"/>
          <w:u w:val="none"/>
        </w:rPr>
        <w:t>元</w:t>
      </w:r>
    </w:p>
    <w:p w14:paraId="593B0619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auto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四、主要标的信息</w:t>
      </w:r>
    </w:p>
    <w:tbl>
      <w:tblPr>
        <w:tblStyle w:val="14"/>
        <w:tblW w:w="97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9"/>
      </w:tblGrid>
      <w:tr w14:paraId="58C73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9" w:type="dxa"/>
          </w:tcPr>
          <w:p w14:paraId="3EFE0C3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工程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类</w:t>
            </w:r>
          </w:p>
        </w:tc>
      </w:tr>
      <w:tr w14:paraId="7E837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9" w:type="dxa"/>
          </w:tcPr>
          <w:p w14:paraId="3A7C142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textAlignment w:val="auto"/>
              <w:rPr>
                <w:rFonts w:ascii="仿宋" w:hAnsi="仿宋" w:eastAsia="仿宋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</w:rPr>
              <w:t>名称：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  <w:lang w:val="zh-CN" w:eastAsia="zh-CN"/>
              </w:rPr>
              <w:t>山东省泰安英雄山中学科技楼自来水管道更换项目</w:t>
            </w:r>
          </w:p>
          <w:p w14:paraId="1C806D2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  <w:lang w:eastAsia="zh-CN"/>
              </w:rPr>
              <w:t>施工范围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</w:rPr>
              <w:t>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  <w:lang w:val="en-US" w:eastAsia="zh-CN"/>
              </w:rPr>
              <w:t>主要施工内容为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  <w:lang w:val="zh-CN"/>
              </w:rPr>
              <w:t>山东省泰安英雄山中学科技楼自来水管道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  <w:lang w:val="en-US" w:eastAsia="zh-CN"/>
              </w:rPr>
              <w:t>管件拆除及安装，地面砖拆除恢复，砖砌地沟、抹灰，混凝土垫层等</w:t>
            </w:r>
          </w:p>
          <w:p w14:paraId="64113D6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default" w:ascii="仿宋_GB2312" w:hAnsi="仿宋" w:eastAsia="仿宋_GB2312" w:cs="宋体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  <w:lang w:eastAsia="zh-CN"/>
              </w:rPr>
              <w:t>施工工期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</w:rPr>
              <w:t>：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lang w:val="zh-CN" w:eastAsia="zh-CN"/>
              </w:rPr>
              <w:t>天</w:t>
            </w:r>
          </w:p>
        </w:tc>
      </w:tr>
    </w:tbl>
    <w:p w14:paraId="7C76AB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 w:val="0"/>
        <w:topLinePunct/>
        <w:autoSpaceDE w:val="0"/>
        <w:autoSpaceDN w:val="0"/>
        <w:bidi w:val="0"/>
        <w:adjustRightInd w:val="0"/>
        <w:snapToGrid w:val="0"/>
        <w:spacing w:line="360" w:lineRule="auto"/>
        <w:textAlignment w:val="auto"/>
        <w:rPr>
          <w:rFonts w:hint="default" w:ascii="仿宋" w:hAnsi="仿宋" w:eastAsia="仿宋" w:cs="仿宋"/>
          <w:color w:val="333333"/>
          <w:kern w:val="0"/>
          <w:sz w:val="28"/>
          <w:szCs w:val="28"/>
          <w:lang w:val="en-US" w:eastAsia="zh-CN" w:bidi="ar"/>
        </w:rPr>
      </w:pPr>
      <w:r>
        <w:rPr>
          <w:rFonts w:hint="eastAsia" w:ascii="黑体" w:hAnsi="黑体" w:eastAsia="黑体"/>
          <w:sz w:val="28"/>
          <w:szCs w:val="28"/>
          <w:lang w:eastAsia="zh-CN"/>
        </w:rPr>
        <w:t>五、</w:t>
      </w:r>
      <w:r>
        <w:rPr>
          <w:rFonts w:hint="eastAsia" w:ascii="黑体" w:hAnsi="黑体" w:eastAsia="黑体"/>
          <w:sz w:val="28"/>
          <w:szCs w:val="28"/>
        </w:rPr>
        <w:t>评审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小组</w:t>
      </w:r>
      <w:r>
        <w:rPr>
          <w:rFonts w:hint="eastAsia" w:ascii="黑体" w:hAnsi="黑体" w:eastAsia="黑体"/>
          <w:sz w:val="28"/>
          <w:szCs w:val="28"/>
        </w:rPr>
        <w:t>名单</w:t>
      </w:r>
      <w:r>
        <w:rPr>
          <w:rFonts w:hint="eastAsia" w:ascii="黑体" w:hAnsi="黑体" w:eastAsia="黑体"/>
          <w:sz w:val="28"/>
          <w:szCs w:val="28"/>
          <w:highlight w:val="none"/>
        </w:rPr>
        <w:t>：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highlight w:val="none"/>
          <w:lang w:val="en-US" w:eastAsia="zh-CN"/>
        </w:rPr>
        <w:t>严茂东、毕研兵、霍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kern w:val="0"/>
          <w:sz w:val="28"/>
          <w:szCs w:val="28"/>
          <w:highlight w:val="none"/>
          <w:lang w:val="en-US" w:eastAsia="zh-CN"/>
        </w:rPr>
        <w:t>兴彬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highlight w:val="none"/>
          <w:lang w:val="en-US" w:eastAsia="zh-CN" w:bidi="ar"/>
        </w:rPr>
        <w:t>。</w:t>
      </w:r>
    </w:p>
    <w:p w14:paraId="1DA96306">
      <w:pPr>
        <w:pStyle w:val="12"/>
        <w:keepNext w:val="0"/>
        <w:keepLines w:val="0"/>
        <w:pageBreakBefore w:val="0"/>
        <w:widowControl w:val="0"/>
        <w:kinsoku/>
        <w:wordWrap w:val="0"/>
        <w:overflowPunct w:val="0"/>
        <w:topLinePunct/>
        <w:autoSpaceDE w:val="0"/>
        <w:autoSpaceDN w:val="0"/>
        <w:bidi w:val="0"/>
        <w:adjustRightInd w:val="0"/>
        <w:snapToGrid w:val="0"/>
        <w:spacing w:before="0" w:beforeAutospacing="0" w:after="0" w:afterAutospacing="0" w:line="360" w:lineRule="auto"/>
        <w:jc w:val="both"/>
        <w:textAlignment w:val="auto"/>
      </w:pPr>
      <w:r>
        <w:rPr>
          <w:rFonts w:hint="eastAsia" w:ascii="黑体" w:hAnsi="宋体" w:eastAsia="黑体" w:cs="黑体"/>
          <w:color w:val="333333"/>
          <w:sz w:val="28"/>
          <w:szCs w:val="28"/>
        </w:rPr>
        <w:t>六、公告期限</w:t>
      </w:r>
    </w:p>
    <w:p w14:paraId="57781889">
      <w:pPr>
        <w:pStyle w:val="12"/>
        <w:keepNext w:val="0"/>
        <w:keepLines w:val="0"/>
        <w:pageBreakBefore w:val="0"/>
        <w:widowControl w:val="0"/>
        <w:kinsoku/>
        <w:wordWrap w:val="0"/>
        <w:overflowPunct w:val="0"/>
        <w:topLinePunct/>
        <w:autoSpaceDE w:val="0"/>
        <w:autoSpaceDN w:val="0"/>
        <w:bidi w:val="0"/>
        <w:adjustRightInd w:val="0"/>
        <w:snapToGrid w:val="0"/>
        <w:spacing w:before="0" w:beforeAutospacing="0" w:after="0" w:afterAutospacing="0" w:line="360" w:lineRule="auto"/>
        <w:ind w:firstLine="560"/>
        <w:jc w:val="both"/>
        <w:textAlignment w:val="auto"/>
        <w:rPr>
          <w:rFonts w:hint="eastAsia" w:ascii="黑体" w:hAnsi="黑体" w:eastAsia="黑体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自本公告发布之日起1个工作日。</w:t>
      </w:r>
    </w:p>
    <w:p w14:paraId="1F2FD8A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 w:val="0"/>
        <w:topLinePunct/>
        <w:autoSpaceDE w:val="0"/>
        <w:autoSpaceDN w:val="0"/>
        <w:bidi w:val="0"/>
        <w:adjustRightInd w:val="0"/>
        <w:snapToGrid w:val="0"/>
        <w:spacing w:line="360" w:lineRule="auto"/>
        <w:textAlignment w:val="auto"/>
        <w:rPr>
          <w:rFonts w:hint="eastAsia" w:ascii="黑体" w:hAnsi="黑体" w:eastAsia="黑体" w:cs="仿宋"/>
          <w:sz w:val="28"/>
          <w:szCs w:val="28"/>
          <w:lang w:eastAsia="zh-CN"/>
        </w:rPr>
      </w:pPr>
      <w:r>
        <w:rPr>
          <w:rFonts w:hint="eastAsia" w:ascii="黑体" w:hAnsi="黑体" w:eastAsia="黑体" w:cs="仿宋"/>
          <w:sz w:val="28"/>
          <w:szCs w:val="28"/>
          <w:lang w:val="en-US" w:eastAsia="zh-CN"/>
        </w:rPr>
        <w:t>七、</w:t>
      </w:r>
      <w:r>
        <w:rPr>
          <w:rFonts w:hint="eastAsia" w:ascii="黑体" w:hAnsi="黑体" w:eastAsia="黑体" w:cs="仿宋"/>
          <w:sz w:val="28"/>
          <w:szCs w:val="28"/>
        </w:rPr>
        <w:t>其他补充事宜</w:t>
      </w:r>
    </w:p>
    <w:p w14:paraId="6B7610B5">
      <w:pPr>
        <w:pStyle w:val="12"/>
        <w:keepNext w:val="0"/>
        <w:keepLines w:val="0"/>
        <w:pageBreakBefore w:val="0"/>
        <w:widowControl w:val="0"/>
        <w:kinsoku/>
        <w:wordWrap w:val="0"/>
        <w:overflowPunct w:val="0"/>
        <w:topLinePunct/>
        <w:autoSpaceDE w:val="0"/>
        <w:autoSpaceDN w:val="0"/>
        <w:bidi w:val="0"/>
        <w:adjustRightInd w:val="0"/>
        <w:snapToGrid w:val="0"/>
        <w:spacing w:before="0" w:beforeAutospacing="0" w:after="0" w:afterAutospacing="0" w:line="360" w:lineRule="auto"/>
        <w:ind w:firstLine="560" w:firstLineChars="200"/>
        <w:jc w:val="both"/>
        <w:textAlignment w:val="auto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1、评审明细</w:t>
      </w:r>
    </w:p>
    <w:tbl>
      <w:tblPr>
        <w:tblStyle w:val="13"/>
        <w:tblW w:w="9276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5"/>
        <w:gridCol w:w="2081"/>
        <w:gridCol w:w="1354"/>
        <w:gridCol w:w="1301"/>
        <w:gridCol w:w="947"/>
        <w:gridCol w:w="1166"/>
        <w:gridCol w:w="1122"/>
        <w:gridCol w:w="830"/>
      </w:tblGrid>
      <w:tr w14:paraId="78DCFB0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  <w:jc w:val="center"/>
        </w:trPr>
        <w:tc>
          <w:tcPr>
            <w:tcW w:w="4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DCC660B">
            <w:pPr>
              <w:pStyle w:val="12"/>
              <w:widowControl/>
              <w:spacing w:before="0" w:beforeAutospacing="0" w:after="0" w:afterAutospacing="0" w:line="240" w:lineRule="auto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208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58D69F6">
            <w:pPr>
              <w:pStyle w:val="12"/>
              <w:widowControl/>
              <w:spacing w:before="0" w:beforeAutospacing="0" w:after="0" w:afterAutospacing="0" w:line="240" w:lineRule="auto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供应商名称</w:t>
            </w:r>
          </w:p>
        </w:tc>
        <w:tc>
          <w:tcPr>
            <w:tcW w:w="135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F579A89"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  <w:t>首轮报价(元)</w:t>
            </w:r>
          </w:p>
        </w:tc>
        <w:tc>
          <w:tcPr>
            <w:tcW w:w="13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03046B9"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  <w:t>最终报价(元)</w:t>
            </w:r>
          </w:p>
        </w:tc>
        <w:tc>
          <w:tcPr>
            <w:tcW w:w="9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366ECBA">
            <w:pPr>
              <w:pStyle w:val="12"/>
              <w:widowControl/>
              <w:spacing w:before="0" w:beforeAutospacing="0" w:after="0" w:afterAutospacing="0" w:line="240" w:lineRule="auto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  <w:t>价格部分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DA4B77A">
            <w:pPr>
              <w:pStyle w:val="12"/>
              <w:widowControl/>
              <w:spacing w:before="0" w:beforeAutospacing="0" w:after="0" w:afterAutospacing="0" w:line="240" w:lineRule="auto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  <w:t>技术部分</w:t>
            </w:r>
          </w:p>
        </w:tc>
        <w:tc>
          <w:tcPr>
            <w:tcW w:w="112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4C5045B">
            <w:pPr>
              <w:pStyle w:val="12"/>
              <w:widowControl/>
              <w:spacing w:before="0" w:beforeAutospacing="0" w:after="0" w:afterAutospacing="0" w:line="240" w:lineRule="auto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  <w:t>商务部分</w:t>
            </w:r>
          </w:p>
        </w:tc>
        <w:tc>
          <w:tcPr>
            <w:tcW w:w="8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DFF1EA9">
            <w:pPr>
              <w:pStyle w:val="12"/>
              <w:widowControl/>
              <w:spacing w:before="0" w:beforeAutospacing="0" w:after="0" w:afterAutospacing="0"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  <w:t>总分</w:t>
            </w:r>
          </w:p>
        </w:tc>
      </w:tr>
      <w:tr w14:paraId="6658105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4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0CA953A">
            <w:pPr>
              <w:pStyle w:val="12"/>
              <w:widowControl/>
              <w:spacing w:before="0" w:beforeAutospacing="0" w:after="0" w:afterAutospacing="0" w:line="240" w:lineRule="auto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208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96F8E7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val="en-US" w:eastAsia="zh-CN" w:bidi="ar"/>
              </w:rPr>
              <w:t>泰安市泰山区山海建筑工程部</w:t>
            </w:r>
          </w:p>
        </w:tc>
        <w:tc>
          <w:tcPr>
            <w:tcW w:w="135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92D9F99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val="en-US" w:eastAsia="zh-CN" w:bidi="ar"/>
              </w:rPr>
              <w:t>198762.31</w:t>
            </w:r>
          </w:p>
        </w:tc>
        <w:tc>
          <w:tcPr>
            <w:tcW w:w="13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20A3B12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val="en-US" w:eastAsia="zh-CN" w:bidi="ar"/>
              </w:rPr>
              <w:t xml:space="preserve">194000.00 </w:t>
            </w:r>
          </w:p>
        </w:tc>
        <w:tc>
          <w:tcPr>
            <w:tcW w:w="9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2C0A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20.00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062A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57.50</w:t>
            </w:r>
          </w:p>
        </w:tc>
        <w:tc>
          <w:tcPr>
            <w:tcW w:w="112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60C4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14.87</w:t>
            </w:r>
          </w:p>
        </w:tc>
        <w:tc>
          <w:tcPr>
            <w:tcW w:w="8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67010AB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val="en-US" w:eastAsia="zh-CN" w:bidi="ar"/>
              </w:rPr>
              <w:t>92.37</w:t>
            </w:r>
          </w:p>
        </w:tc>
      </w:tr>
      <w:tr w14:paraId="40E03BD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4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3D922F8">
            <w:pPr>
              <w:pStyle w:val="12"/>
              <w:widowControl/>
              <w:spacing w:before="0" w:beforeAutospacing="0" w:after="0" w:afterAutospacing="0" w:line="23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208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3A18F00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val="en-US" w:eastAsia="zh-CN" w:bidi="ar"/>
              </w:rPr>
              <w:t>泰安军海建筑工程有限公司</w:t>
            </w:r>
          </w:p>
        </w:tc>
        <w:tc>
          <w:tcPr>
            <w:tcW w:w="135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333ED7B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val="en-US" w:eastAsia="zh-CN" w:bidi="ar"/>
              </w:rPr>
              <w:t>199080.87</w:t>
            </w:r>
          </w:p>
        </w:tc>
        <w:tc>
          <w:tcPr>
            <w:tcW w:w="13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67ECF63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val="en-US" w:eastAsia="zh-CN" w:bidi="ar"/>
              </w:rPr>
              <w:t xml:space="preserve">196000.00 </w:t>
            </w:r>
          </w:p>
        </w:tc>
        <w:tc>
          <w:tcPr>
            <w:tcW w:w="9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6358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19.80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EA9D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55.00</w:t>
            </w:r>
          </w:p>
        </w:tc>
        <w:tc>
          <w:tcPr>
            <w:tcW w:w="112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2667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14.50</w:t>
            </w:r>
          </w:p>
        </w:tc>
        <w:tc>
          <w:tcPr>
            <w:tcW w:w="8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DE92B41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val="en-US" w:eastAsia="zh-CN" w:bidi="ar"/>
              </w:rPr>
              <w:t>89.30</w:t>
            </w:r>
          </w:p>
        </w:tc>
      </w:tr>
      <w:tr w14:paraId="5EC86E2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4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6F63297">
            <w:pPr>
              <w:pStyle w:val="12"/>
              <w:widowControl/>
              <w:spacing w:before="0" w:beforeAutospacing="0" w:after="0" w:afterAutospacing="0" w:line="23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208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BF94ED6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val="en-US" w:eastAsia="zh-CN" w:bidi="ar"/>
              </w:rPr>
              <w:t>泰安市锐杰建筑安装有限公司</w:t>
            </w:r>
          </w:p>
        </w:tc>
        <w:tc>
          <w:tcPr>
            <w:tcW w:w="135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1860D25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val="en-US" w:eastAsia="zh-CN" w:bidi="ar"/>
              </w:rPr>
              <w:t xml:space="preserve">199178.23 </w:t>
            </w:r>
          </w:p>
        </w:tc>
        <w:tc>
          <w:tcPr>
            <w:tcW w:w="13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C75FFEB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val="en-US" w:eastAsia="zh-CN" w:bidi="ar"/>
              </w:rPr>
              <w:t xml:space="preserve">199000.00 </w:t>
            </w:r>
          </w:p>
        </w:tc>
        <w:tc>
          <w:tcPr>
            <w:tcW w:w="9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982A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19.50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2D8E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54.83</w:t>
            </w:r>
          </w:p>
        </w:tc>
        <w:tc>
          <w:tcPr>
            <w:tcW w:w="112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5C6D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14.50</w:t>
            </w:r>
          </w:p>
        </w:tc>
        <w:tc>
          <w:tcPr>
            <w:tcW w:w="8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A3D9707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val="en-US" w:eastAsia="zh-CN" w:bidi="ar"/>
              </w:rPr>
              <w:t>88.83</w:t>
            </w:r>
          </w:p>
        </w:tc>
      </w:tr>
      <w:tr w14:paraId="58767F0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  <w:jc w:val="center"/>
        </w:trPr>
        <w:tc>
          <w:tcPr>
            <w:tcW w:w="4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53E66E0">
            <w:pPr>
              <w:pStyle w:val="12"/>
              <w:widowControl/>
              <w:spacing w:before="0" w:beforeAutospacing="0" w:after="0" w:afterAutospacing="0" w:line="23" w:lineRule="atLeast"/>
              <w:jc w:val="center"/>
              <w:rPr>
                <w:rFonts w:hint="default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208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070C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val="en-US" w:eastAsia="zh-CN" w:bidi="ar"/>
              </w:rPr>
              <w:t>泰安市广盛建筑安装有限公司</w:t>
            </w:r>
          </w:p>
        </w:tc>
        <w:tc>
          <w:tcPr>
            <w:tcW w:w="135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4F6A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val="en-US" w:eastAsia="zh-CN" w:bidi="ar"/>
              </w:rPr>
              <w:t xml:space="preserve">198926.54 </w:t>
            </w:r>
          </w:p>
        </w:tc>
        <w:tc>
          <w:tcPr>
            <w:tcW w:w="13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A0F7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val="en-US" w:eastAsia="zh-CN" w:bidi="ar"/>
              </w:rPr>
              <w:t>198000.00</w:t>
            </w:r>
          </w:p>
        </w:tc>
        <w:tc>
          <w:tcPr>
            <w:tcW w:w="9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D5BF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19.60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EBB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53.67</w:t>
            </w:r>
          </w:p>
        </w:tc>
        <w:tc>
          <w:tcPr>
            <w:tcW w:w="112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4CAA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14.80</w:t>
            </w:r>
          </w:p>
        </w:tc>
        <w:tc>
          <w:tcPr>
            <w:tcW w:w="8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6E86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val="en-US" w:eastAsia="zh-CN" w:bidi="ar"/>
              </w:rPr>
              <w:t xml:space="preserve">88.06 </w:t>
            </w:r>
          </w:p>
        </w:tc>
      </w:tr>
    </w:tbl>
    <w:p w14:paraId="1F47BF8A">
      <w:pPr>
        <w:overflowPunct w:val="0"/>
        <w:autoSpaceDE w:val="0"/>
        <w:autoSpaceDN w:val="0"/>
        <w:adjustRightInd w:val="0"/>
        <w:snapToGrid w:val="0"/>
        <w:spacing w:line="360" w:lineRule="auto"/>
        <w:ind w:firstLine="140" w:firstLineChars="50"/>
        <w:rPr>
          <w:rFonts w:hint="eastAsia" w:ascii="仿宋_GB2312" w:eastAsia="仿宋_GB2312"/>
          <w:sz w:val="28"/>
          <w:szCs w:val="28"/>
          <w:highlight w:val="none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highlight w:val="none"/>
        </w:rPr>
        <w:t>2、</w:t>
      </w:r>
      <w:r>
        <w:rPr>
          <w:rFonts w:hint="eastAsia" w:ascii="仿宋_GB2312" w:hAnsi="仿宋" w:eastAsia="仿宋_GB2312"/>
          <w:sz w:val="28"/>
          <w:szCs w:val="28"/>
          <w:highlight w:val="none"/>
          <w:lang w:val="en-US" w:eastAsia="zh-CN"/>
        </w:rPr>
        <w:t>评审</w:t>
      </w:r>
      <w:r>
        <w:rPr>
          <w:rFonts w:hint="eastAsia" w:ascii="仿宋_GB2312" w:hAnsi="仿宋" w:eastAsia="仿宋_GB2312"/>
          <w:sz w:val="28"/>
          <w:szCs w:val="28"/>
          <w:highlight w:val="none"/>
        </w:rPr>
        <w:t>小组根据供应商总分由高到低推荐成交候选供应商</w:t>
      </w:r>
      <w:r>
        <w:rPr>
          <w:rFonts w:hint="eastAsia" w:ascii="仿宋_GB2312" w:eastAsia="仿宋_GB2312"/>
          <w:sz w:val="28"/>
          <w:szCs w:val="28"/>
          <w:highlight w:val="none"/>
        </w:rPr>
        <w:t xml:space="preserve">如下： </w:t>
      </w:r>
    </w:p>
    <w:tbl>
      <w:tblPr>
        <w:tblStyle w:val="13"/>
        <w:tblW w:w="93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87"/>
        <w:gridCol w:w="1177"/>
        <w:gridCol w:w="1900"/>
        <w:gridCol w:w="1766"/>
        <w:gridCol w:w="1141"/>
      </w:tblGrid>
      <w:tr w14:paraId="75AFA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3387" w:type="dxa"/>
            <w:noWrap w:val="0"/>
            <w:vAlign w:val="center"/>
          </w:tcPr>
          <w:p w14:paraId="3D4A56AA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" w:eastAsia="仿宋_GB2312" w:cs="宋体"/>
                <w:szCs w:val="21"/>
                <w:highlight w:val="none"/>
              </w:rPr>
            </w:pPr>
            <w:r>
              <w:rPr>
                <w:rFonts w:hint="eastAsia" w:ascii="仿宋_GB2312" w:hAnsi="仿宋" w:eastAsia="仿宋_GB2312" w:cs="宋体"/>
                <w:szCs w:val="21"/>
                <w:highlight w:val="none"/>
              </w:rPr>
              <w:t>供应商名称</w:t>
            </w:r>
          </w:p>
        </w:tc>
        <w:tc>
          <w:tcPr>
            <w:tcW w:w="1177" w:type="dxa"/>
            <w:noWrap w:val="0"/>
            <w:vAlign w:val="center"/>
          </w:tcPr>
          <w:p w14:paraId="6655D385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" w:eastAsia="仿宋_GB2312" w:cs="宋体"/>
                <w:szCs w:val="21"/>
                <w:highlight w:val="none"/>
              </w:rPr>
            </w:pPr>
            <w:r>
              <w:rPr>
                <w:rFonts w:hint="eastAsia" w:ascii="仿宋_GB2312" w:hAnsi="仿宋" w:eastAsia="仿宋_GB2312" w:cs="宋体"/>
                <w:szCs w:val="21"/>
                <w:highlight w:val="none"/>
              </w:rPr>
              <w:t>总分</w:t>
            </w:r>
          </w:p>
        </w:tc>
        <w:tc>
          <w:tcPr>
            <w:tcW w:w="1900" w:type="dxa"/>
            <w:noWrap w:val="0"/>
            <w:vAlign w:val="center"/>
          </w:tcPr>
          <w:p w14:paraId="70BBDB19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" w:eastAsia="仿宋_GB2312" w:cs="宋体"/>
                <w:szCs w:val="21"/>
                <w:highlight w:val="none"/>
              </w:rPr>
            </w:pPr>
            <w:r>
              <w:rPr>
                <w:rFonts w:hint="eastAsia" w:ascii="仿宋_GB2312" w:hAnsi="仿宋" w:eastAsia="仿宋_GB2312" w:cs="宋体"/>
                <w:szCs w:val="21"/>
                <w:highlight w:val="none"/>
              </w:rPr>
              <w:t>首次报价（元）</w:t>
            </w:r>
          </w:p>
        </w:tc>
        <w:tc>
          <w:tcPr>
            <w:tcW w:w="1766" w:type="dxa"/>
            <w:noWrap w:val="0"/>
            <w:vAlign w:val="center"/>
          </w:tcPr>
          <w:p w14:paraId="13B32A23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" w:eastAsia="仿宋_GB2312" w:cs="宋体"/>
                <w:szCs w:val="21"/>
                <w:highlight w:val="none"/>
              </w:rPr>
            </w:pPr>
            <w:r>
              <w:rPr>
                <w:rFonts w:hint="eastAsia" w:ascii="仿宋_GB2312" w:hAnsi="仿宋" w:eastAsia="仿宋_GB2312" w:cs="宋体"/>
                <w:szCs w:val="21"/>
                <w:highlight w:val="none"/>
              </w:rPr>
              <w:t>最后报价（元）</w:t>
            </w:r>
          </w:p>
        </w:tc>
        <w:tc>
          <w:tcPr>
            <w:tcW w:w="1141" w:type="dxa"/>
            <w:noWrap w:val="0"/>
            <w:vAlign w:val="center"/>
          </w:tcPr>
          <w:p w14:paraId="676D07A8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" w:eastAsia="仿宋_GB2312" w:cs="宋体"/>
                <w:szCs w:val="21"/>
                <w:highlight w:val="none"/>
              </w:rPr>
            </w:pPr>
            <w:r>
              <w:rPr>
                <w:rFonts w:hint="eastAsia" w:ascii="仿宋_GB2312" w:hAnsi="仿宋" w:eastAsia="仿宋_GB2312" w:cs="宋体"/>
                <w:szCs w:val="21"/>
                <w:highlight w:val="none"/>
              </w:rPr>
              <w:t>排名</w:t>
            </w:r>
          </w:p>
        </w:tc>
      </w:tr>
      <w:tr w14:paraId="45D23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3387" w:type="dxa"/>
            <w:shd w:val="clear" w:color="auto" w:fill="auto"/>
            <w:noWrap w:val="0"/>
            <w:vAlign w:val="center"/>
          </w:tcPr>
          <w:p w14:paraId="0D1D004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val="en-US" w:eastAsia="zh-CN" w:bidi="ar"/>
              </w:rPr>
              <w:t>泰安市泰山区山海建筑工程部</w:t>
            </w:r>
          </w:p>
        </w:tc>
        <w:tc>
          <w:tcPr>
            <w:tcW w:w="1177" w:type="dxa"/>
            <w:shd w:val="clear" w:color="auto" w:fill="FFFFFF"/>
            <w:noWrap w:val="0"/>
            <w:vAlign w:val="center"/>
          </w:tcPr>
          <w:p w14:paraId="33D6AD16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val="en-US" w:eastAsia="zh-CN" w:bidi="ar"/>
              </w:rPr>
              <w:t>92.37</w:t>
            </w:r>
          </w:p>
        </w:tc>
        <w:tc>
          <w:tcPr>
            <w:tcW w:w="1900" w:type="dxa"/>
            <w:noWrap w:val="0"/>
            <w:vAlign w:val="center"/>
          </w:tcPr>
          <w:p w14:paraId="1F3C792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zh-CN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val="en-US" w:eastAsia="zh-CN" w:bidi="ar"/>
              </w:rPr>
              <w:t>198762.31</w:t>
            </w:r>
          </w:p>
        </w:tc>
        <w:tc>
          <w:tcPr>
            <w:tcW w:w="1766" w:type="dxa"/>
            <w:noWrap w:val="0"/>
            <w:vAlign w:val="center"/>
          </w:tcPr>
          <w:p w14:paraId="7FCF3C32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val="en-US" w:eastAsia="zh-CN" w:bidi="ar"/>
              </w:rPr>
              <w:t xml:space="preserve">194000.00 </w:t>
            </w:r>
          </w:p>
        </w:tc>
        <w:tc>
          <w:tcPr>
            <w:tcW w:w="1141" w:type="dxa"/>
            <w:noWrap w:val="0"/>
            <w:vAlign w:val="center"/>
          </w:tcPr>
          <w:p w14:paraId="0CB81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" w:eastAsia="仿宋_GB2312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szCs w:val="21"/>
                <w:highlight w:val="none"/>
                <w:lang w:val="en-US" w:eastAsia="zh-CN"/>
              </w:rPr>
              <w:t>1</w:t>
            </w:r>
          </w:p>
        </w:tc>
      </w:tr>
      <w:tr w14:paraId="5BEF3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3387" w:type="dxa"/>
            <w:shd w:val="clear" w:color="auto" w:fill="auto"/>
            <w:noWrap w:val="0"/>
            <w:vAlign w:val="center"/>
          </w:tcPr>
          <w:p w14:paraId="774A92F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val="en-US" w:eastAsia="zh-CN" w:bidi="ar"/>
              </w:rPr>
              <w:t>泰安军海建筑工程有限公司</w:t>
            </w:r>
          </w:p>
        </w:tc>
        <w:tc>
          <w:tcPr>
            <w:tcW w:w="1177" w:type="dxa"/>
            <w:shd w:val="clear" w:color="auto" w:fill="FFFFFF"/>
            <w:noWrap w:val="0"/>
            <w:vAlign w:val="center"/>
          </w:tcPr>
          <w:p w14:paraId="20F19BA6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val="en-US" w:eastAsia="zh-CN" w:bidi="ar"/>
              </w:rPr>
              <w:t>89.30</w:t>
            </w:r>
          </w:p>
        </w:tc>
        <w:tc>
          <w:tcPr>
            <w:tcW w:w="1900" w:type="dxa"/>
            <w:noWrap w:val="0"/>
            <w:vAlign w:val="center"/>
          </w:tcPr>
          <w:p w14:paraId="6F9DB32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zh-CN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val="en-US" w:eastAsia="zh-CN" w:bidi="ar"/>
              </w:rPr>
              <w:t>199080.87</w:t>
            </w:r>
          </w:p>
        </w:tc>
        <w:tc>
          <w:tcPr>
            <w:tcW w:w="1766" w:type="dxa"/>
            <w:noWrap w:val="0"/>
            <w:vAlign w:val="center"/>
          </w:tcPr>
          <w:p w14:paraId="7CE07768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val="en-US" w:eastAsia="zh-CN" w:bidi="ar"/>
              </w:rPr>
              <w:t xml:space="preserve">196000.00 </w:t>
            </w:r>
          </w:p>
        </w:tc>
        <w:tc>
          <w:tcPr>
            <w:tcW w:w="1141" w:type="dxa"/>
            <w:noWrap w:val="0"/>
            <w:vAlign w:val="center"/>
          </w:tcPr>
          <w:p w14:paraId="595C20C7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default" w:ascii="仿宋_GB2312" w:hAnsi="仿宋" w:eastAsia="仿宋_GB2312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szCs w:val="21"/>
                <w:highlight w:val="none"/>
                <w:lang w:val="en-US" w:eastAsia="zh-CN"/>
              </w:rPr>
              <w:t>2</w:t>
            </w:r>
          </w:p>
        </w:tc>
      </w:tr>
      <w:tr w14:paraId="6E7AF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3387" w:type="dxa"/>
            <w:shd w:val="clear" w:color="auto" w:fill="auto"/>
            <w:noWrap w:val="0"/>
            <w:vAlign w:val="center"/>
          </w:tcPr>
          <w:p w14:paraId="78A533E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val="en-US" w:eastAsia="zh-CN" w:bidi="ar"/>
              </w:rPr>
              <w:t>泰安市锐杰建筑安装有限公司</w:t>
            </w:r>
          </w:p>
        </w:tc>
        <w:tc>
          <w:tcPr>
            <w:tcW w:w="1177" w:type="dxa"/>
            <w:shd w:val="clear" w:color="auto" w:fill="FFFFFF"/>
            <w:noWrap w:val="0"/>
            <w:vAlign w:val="center"/>
          </w:tcPr>
          <w:p w14:paraId="51209F1F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val="en-US" w:eastAsia="zh-CN" w:bidi="ar"/>
              </w:rPr>
              <w:t>88.83</w:t>
            </w:r>
          </w:p>
        </w:tc>
        <w:tc>
          <w:tcPr>
            <w:tcW w:w="1900" w:type="dxa"/>
            <w:noWrap w:val="0"/>
            <w:vAlign w:val="center"/>
          </w:tcPr>
          <w:p w14:paraId="14639C79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val="en-US" w:eastAsia="zh-CN" w:bidi="ar"/>
              </w:rPr>
              <w:t xml:space="preserve">199178.23 </w:t>
            </w:r>
          </w:p>
        </w:tc>
        <w:tc>
          <w:tcPr>
            <w:tcW w:w="1766" w:type="dxa"/>
            <w:noWrap w:val="0"/>
            <w:vAlign w:val="center"/>
          </w:tcPr>
          <w:p w14:paraId="0A533BD5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val="en-US" w:eastAsia="zh-CN" w:bidi="ar"/>
              </w:rPr>
              <w:t xml:space="preserve">199000.00 </w:t>
            </w:r>
          </w:p>
        </w:tc>
        <w:tc>
          <w:tcPr>
            <w:tcW w:w="1141" w:type="dxa"/>
            <w:noWrap w:val="0"/>
            <w:vAlign w:val="center"/>
          </w:tcPr>
          <w:p w14:paraId="48D1E3F8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default" w:ascii="仿宋_GB2312" w:hAnsi="仿宋" w:eastAsia="仿宋_GB2312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szCs w:val="21"/>
                <w:highlight w:val="none"/>
                <w:lang w:val="en-US" w:eastAsia="zh-CN"/>
              </w:rPr>
              <w:t>3</w:t>
            </w:r>
          </w:p>
        </w:tc>
      </w:tr>
    </w:tbl>
    <w:p w14:paraId="1A1BFA0E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auto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八</w:t>
      </w:r>
      <w:r>
        <w:rPr>
          <w:rFonts w:hint="eastAsia" w:ascii="黑体" w:hAnsi="黑体" w:eastAsia="黑体" w:cs="宋体"/>
          <w:kern w:val="0"/>
          <w:sz w:val="28"/>
          <w:szCs w:val="28"/>
        </w:rPr>
        <w:t>、凡对本次公告内容提出询问，请按以下方式联系。</w:t>
      </w:r>
    </w:p>
    <w:p w14:paraId="7513599B">
      <w:pPr>
        <w:overflowPunct w:val="0"/>
        <w:autoSpaceDE w:val="0"/>
        <w:autoSpaceDN w:val="0"/>
        <w:adjustRightInd w:val="0"/>
        <w:snapToGrid w:val="0"/>
        <w:spacing w:line="360" w:lineRule="auto"/>
        <w:ind w:firstLine="560" w:firstLineChars="200"/>
        <w:rPr>
          <w:rFonts w:hint="eastAsia" w:ascii="仿宋_GB2312" w:hAnsi="宋体" w:eastAsia="仿宋_GB2312" w:cs="宋体"/>
          <w:kern w:val="0"/>
          <w:sz w:val="28"/>
          <w:szCs w:val="28"/>
          <w:lang w:val="zh-CN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1.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zh-CN"/>
        </w:rPr>
        <w:t>采购人信息</w:t>
      </w:r>
    </w:p>
    <w:p w14:paraId="005F1CA1">
      <w:pPr>
        <w:overflowPunct w:val="0"/>
        <w:autoSpaceDE w:val="0"/>
        <w:autoSpaceDN w:val="0"/>
        <w:adjustRightInd w:val="0"/>
        <w:snapToGrid w:val="0"/>
        <w:spacing w:line="360" w:lineRule="auto"/>
        <w:ind w:firstLine="560" w:firstLineChars="200"/>
        <w:rPr>
          <w:rFonts w:hint="eastAsia" w:ascii="仿宋_GB2312" w:hAnsi="宋体" w:eastAsia="仿宋_GB2312" w:cs="宋体"/>
          <w:kern w:val="0"/>
          <w:sz w:val="28"/>
          <w:szCs w:val="28"/>
          <w:lang w:val="zh-CN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val="zh-CN"/>
        </w:rPr>
        <w:t>名称：山东省泰安英雄山中学</w:t>
      </w:r>
    </w:p>
    <w:p w14:paraId="6BF9BBAD">
      <w:pPr>
        <w:overflowPunct w:val="0"/>
        <w:autoSpaceDE w:val="0"/>
        <w:autoSpaceDN w:val="0"/>
        <w:adjustRightInd w:val="0"/>
        <w:snapToGrid w:val="0"/>
        <w:spacing w:line="360" w:lineRule="auto"/>
        <w:ind w:firstLine="560" w:firstLineChars="200"/>
        <w:rPr>
          <w:rFonts w:hint="eastAsia" w:ascii="仿宋_GB2312" w:hAnsi="宋体" w:eastAsia="仿宋_GB2312" w:cs="宋体"/>
          <w:kern w:val="0"/>
          <w:sz w:val="28"/>
          <w:szCs w:val="28"/>
          <w:lang w:val="zh-CN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val="zh-CN"/>
        </w:rPr>
        <w:t>地址：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zh-CN" w:eastAsia="zh-CN"/>
        </w:rPr>
        <w:t>泰安市英才街11号</w:t>
      </w:r>
    </w:p>
    <w:p w14:paraId="6A3CCF48">
      <w:pPr>
        <w:overflowPunct w:val="0"/>
        <w:autoSpaceDE w:val="0"/>
        <w:autoSpaceDN w:val="0"/>
        <w:adjustRightInd w:val="0"/>
        <w:snapToGrid w:val="0"/>
        <w:spacing w:line="360" w:lineRule="auto"/>
        <w:ind w:firstLine="560" w:firstLineChars="200"/>
        <w:rPr>
          <w:rFonts w:hint="eastAsia" w:ascii="仿宋_GB2312" w:hAnsi="宋体" w:eastAsia="仿宋_GB2312" w:cs="宋体"/>
          <w:kern w:val="0"/>
          <w:sz w:val="28"/>
          <w:szCs w:val="28"/>
          <w:lang w:val="zh-CN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2.采购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zh-CN"/>
        </w:rPr>
        <w:t>代理机构信息</w:t>
      </w:r>
    </w:p>
    <w:p w14:paraId="332F9619">
      <w:pPr>
        <w:overflowPunct w:val="0"/>
        <w:autoSpaceDE w:val="0"/>
        <w:autoSpaceDN w:val="0"/>
        <w:adjustRightInd w:val="0"/>
        <w:snapToGrid w:val="0"/>
        <w:spacing w:line="360" w:lineRule="auto"/>
        <w:ind w:firstLine="560" w:firstLineChars="200"/>
        <w:rPr>
          <w:rFonts w:hint="eastAsia" w:ascii="仿宋_GB2312" w:hAnsi="宋体" w:eastAsia="仿宋_GB2312" w:cs="宋体"/>
          <w:kern w:val="0"/>
          <w:sz w:val="28"/>
          <w:szCs w:val="28"/>
          <w:lang w:val="zh-CN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val="zh-CN"/>
        </w:rPr>
        <w:t>名称：山东思远工程管理服务有限公司</w:t>
      </w:r>
    </w:p>
    <w:p w14:paraId="5F7D815F">
      <w:pPr>
        <w:overflowPunct w:val="0"/>
        <w:autoSpaceDE w:val="0"/>
        <w:autoSpaceDN w:val="0"/>
        <w:adjustRightInd w:val="0"/>
        <w:snapToGrid w:val="0"/>
        <w:spacing w:line="360" w:lineRule="auto"/>
        <w:ind w:firstLine="560" w:firstLineChars="200"/>
        <w:rPr>
          <w:rFonts w:hint="eastAsia" w:ascii="仿宋_GB2312" w:hAnsi="宋体" w:eastAsia="仿宋_GB2312" w:cs="宋体"/>
          <w:kern w:val="0"/>
          <w:sz w:val="28"/>
          <w:szCs w:val="28"/>
          <w:lang w:val="zh-CN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val="zh-CN"/>
        </w:rPr>
        <w:t>地址：泰安市泰山区创业大街47号中天大厦802室</w:t>
      </w:r>
    </w:p>
    <w:p w14:paraId="56C27009">
      <w:pPr>
        <w:overflowPunct w:val="0"/>
        <w:autoSpaceDE w:val="0"/>
        <w:autoSpaceDN w:val="0"/>
        <w:adjustRightInd w:val="0"/>
        <w:snapToGrid w:val="0"/>
        <w:spacing w:line="360" w:lineRule="auto"/>
        <w:ind w:firstLine="560" w:firstLineChars="200"/>
        <w:rPr>
          <w:rFonts w:hint="eastAsia" w:ascii="仿宋_GB2312" w:hAnsi="宋体" w:eastAsia="仿宋_GB2312" w:cs="宋体"/>
          <w:kern w:val="0"/>
          <w:sz w:val="28"/>
          <w:szCs w:val="28"/>
          <w:lang w:val="zh-CN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val="zh-CN"/>
        </w:rPr>
        <w:t>电话：0538-6118611</w:t>
      </w:r>
    </w:p>
    <w:p w14:paraId="695AF31B">
      <w:pPr>
        <w:overflowPunct w:val="0"/>
        <w:autoSpaceDE w:val="0"/>
        <w:autoSpaceDN w:val="0"/>
        <w:adjustRightInd w:val="0"/>
        <w:snapToGrid w:val="0"/>
        <w:spacing w:line="360" w:lineRule="auto"/>
        <w:ind w:firstLine="5600" w:firstLineChars="2000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 xml:space="preserve">                        </w:t>
      </w:r>
      <w:bookmarkEnd w:id="0"/>
    </w:p>
    <w:sectPr>
      <w:pgSz w:w="11906" w:h="16838"/>
      <w:pgMar w:top="1260" w:right="946" w:bottom="1118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宋?">
    <w:altName w:val="宋体"/>
    <w:panose1 w:val="00000000000000000000"/>
    <w:charset w:val="81"/>
    <w:family w:val="auto"/>
    <w:pitch w:val="default"/>
    <w:sig w:usb0="00000000" w:usb1="00000000" w:usb2="00000010" w:usb3="00000000" w:csb0="0008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jdlYzdiZjNjYWIzOWIwY2M0MzQyMGY2ZDAyYjFiMjMifQ=="/>
  </w:docVars>
  <w:rsids>
    <w:rsidRoot w:val="0058660E"/>
    <w:rsid w:val="00046385"/>
    <w:rsid w:val="00106B47"/>
    <w:rsid w:val="001133C9"/>
    <w:rsid w:val="00114705"/>
    <w:rsid w:val="00130420"/>
    <w:rsid w:val="00151256"/>
    <w:rsid w:val="0019120B"/>
    <w:rsid w:val="001B02C3"/>
    <w:rsid w:val="001C7EB3"/>
    <w:rsid w:val="002600FE"/>
    <w:rsid w:val="002859E0"/>
    <w:rsid w:val="002A0A6B"/>
    <w:rsid w:val="002E73EA"/>
    <w:rsid w:val="003A023A"/>
    <w:rsid w:val="00450B27"/>
    <w:rsid w:val="0048729B"/>
    <w:rsid w:val="004A72F2"/>
    <w:rsid w:val="004C4F34"/>
    <w:rsid w:val="005548D6"/>
    <w:rsid w:val="00564FD3"/>
    <w:rsid w:val="0058660E"/>
    <w:rsid w:val="0058677A"/>
    <w:rsid w:val="005A706C"/>
    <w:rsid w:val="005B2432"/>
    <w:rsid w:val="005D3E15"/>
    <w:rsid w:val="005D58BB"/>
    <w:rsid w:val="00605563"/>
    <w:rsid w:val="00650108"/>
    <w:rsid w:val="00662C71"/>
    <w:rsid w:val="006E6607"/>
    <w:rsid w:val="00784B2C"/>
    <w:rsid w:val="007A2AE6"/>
    <w:rsid w:val="00861047"/>
    <w:rsid w:val="0087471C"/>
    <w:rsid w:val="008D153A"/>
    <w:rsid w:val="008E47B3"/>
    <w:rsid w:val="00941BB0"/>
    <w:rsid w:val="00996DDF"/>
    <w:rsid w:val="009E36DB"/>
    <w:rsid w:val="00A465F6"/>
    <w:rsid w:val="00A76921"/>
    <w:rsid w:val="00A830A3"/>
    <w:rsid w:val="00AB7AD3"/>
    <w:rsid w:val="00BD264E"/>
    <w:rsid w:val="00BF0341"/>
    <w:rsid w:val="00C16261"/>
    <w:rsid w:val="00C31555"/>
    <w:rsid w:val="00C87187"/>
    <w:rsid w:val="00CB4E1B"/>
    <w:rsid w:val="00CB5CC2"/>
    <w:rsid w:val="00D81DB9"/>
    <w:rsid w:val="00DB71CC"/>
    <w:rsid w:val="00E30D47"/>
    <w:rsid w:val="00E54808"/>
    <w:rsid w:val="00E601C1"/>
    <w:rsid w:val="00EB6B4F"/>
    <w:rsid w:val="00ED4F2B"/>
    <w:rsid w:val="00F0625D"/>
    <w:rsid w:val="00F136E5"/>
    <w:rsid w:val="00FE574A"/>
    <w:rsid w:val="01DF16C0"/>
    <w:rsid w:val="048977DF"/>
    <w:rsid w:val="05D07B38"/>
    <w:rsid w:val="078E3EDF"/>
    <w:rsid w:val="0B7A6A6C"/>
    <w:rsid w:val="0BD24C87"/>
    <w:rsid w:val="0CF907D7"/>
    <w:rsid w:val="0D35628D"/>
    <w:rsid w:val="0F285FD9"/>
    <w:rsid w:val="15763CE7"/>
    <w:rsid w:val="165D6D83"/>
    <w:rsid w:val="16742019"/>
    <w:rsid w:val="17624744"/>
    <w:rsid w:val="18531789"/>
    <w:rsid w:val="1BC52A87"/>
    <w:rsid w:val="1D75347B"/>
    <w:rsid w:val="1D822757"/>
    <w:rsid w:val="1E423888"/>
    <w:rsid w:val="1E5545D1"/>
    <w:rsid w:val="1E703D6D"/>
    <w:rsid w:val="201B5F9C"/>
    <w:rsid w:val="20FF3CF4"/>
    <w:rsid w:val="223233D9"/>
    <w:rsid w:val="235A561C"/>
    <w:rsid w:val="24C62B07"/>
    <w:rsid w:val="24DB121F"/>
    <w:rsid w:val="2830016F"/>
    <w:rsid w:val="28781E2E"/>
    <w:rsid w:val="28A01BEE"/>
    <w:rsid w:val="292B1803"/>
    <w:rsid w:val="2AB54EB7"/>
    <w:rsid w:val="2ADD6094"/>
    <w:rsid w:val="2BC27887"/>
    <w:rsid w:val="2BF54FF2"/>
    <w:rsid w:val="2E5801D3"/>
    <w:rsid w:val="2F434040"/>
    <w:rsid w:val="318751C4"/>
    <w:rsid w:val="31CE021F"/>
    <w:rsid w:val="33162A2C"/>
    <w:rsid w:val="336D27F6"/>
    <w:rsid w:val="33CB15E9"/>
    <w:rsid w:val="34DA3F38"/>
    <w:rsid w:val="390111E9"/>
    <w:rsid w:val="3BE50120"/>
    <w:rsid w:val="3C625464"/>
    <w:rsid w:val="3E213694"/>
    <w:rsid w:val="3E594098"/>
    <w:rsid w:val="3EA115F5"/>
    <w:rsid w:val="3EA576C9"/>
    <w:rsid w:val="40584AEA"/>
    <w:rsid w:val="42776949"/>
    <w:rsid w:val="42CC34FF"/>
    <w:rsid w:val="43D063F3"/>
    <w:rsid w:val="443A60B2"/>
    <w:rsid w:val="451237DC"/>
    <w:rsid w:val="4C0429EA"/>
    <w:rsid w:val="4C1F1672"/>
    <w:rsid w:val="510C0980"/>
    <w:rsid w:val="510E1C1A"/>
    <w:rsid w:val="52715EA9"/>
    <w:rsid w:val="52756DE4"/>
    <w:rsid w:val="534B08E2"/>
    <w:rsid w:val="53504C42"/>
    <w:rsid w:val="54850892"/>
    <w:rsid w:val="549F3EFA"/>
    <w:rsid w:val="550F2E5F"/>
    <w:rsid w:val="553A1E70"/>
    <w:rsid w:val="55956FCC"/>
    <w:rsid w:val="58DF5EA3"/>
    <w:rsid w:val="59962206"/>
    <w:rsid w:val="59AD6E02"/>
    <w:rsid w:val="5BB54E91"/>
    <w:rsid w:val="5BC449FD"/>
    <w:rsid w:val="5D6145CA"/>
    <w:rsid w:val="5D706F32"/>
    <w:rsid w:val="5DB20066"/>
    <w:rsid w:val="5F0F51BD"/>
    <w:rsid w:val="5F445A66"/>
    <w:rsid w:val="5F701A7D"/>
    <w:rsid w:val="60534A05"/>
    <w:rsid w:val="6069265E"/>
    <w:rsid w:val="673B2B6F"/>
    <w:rsid w:val="69490132"/>
    <w:rsid w:val="6B9219C4"/>
    <w:rsid w:val="6D475B1F"/>
    <w:rsid w:val="6DF51C3C"/>
    <w:rsid w:val="6EAF7553"/>
    <w:rsid w:val="6F593630"/>
    <w:rsid w:val="70423578"/>
    <w:rsid w:val="736033A8"/>
    <w:rsid w:val="739B5403"/>
    <w:rsid w:val="73E94440"/>
    <w:rsid w:val="74D25C13"/>
    <w:rsid w:val="75970A4C"/>
    <w:rsid w:val="762C4F51"/>
    <w:rsid w:val="784B4DE7"/>
    <w:rsid w:val="7A603457"/>
    <w:rsid w:val="7C7C4411"/>
    <w:rsid w:val="7F557DD6"/>
    <w:rsid w:val="7FC25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nhideWhenUsed="0" w:uiPriority="99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1"/>
    <w:next w:val="6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 w:firstLineChars="200"/>
    </w:pPr>
    <w:rPr>
      <w:rFonts w:ascii="Times New Roman" w:eastAsia="宋?"/>
      <w:szCs w:val="24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6">
    <w:name w:val="Normal Indent"/>
    <w:basedOn w:val="1"/>
    <w:qFormat/>
    <w:uiPriority w:val="99"/>
    <w:pPr>
      <w:adjustRightInd w:val="0"/>
      <w:spacing w:line="360" w:lineRule="auto"/>
      <w:ind w:firstLine="420" w:firstLineChars="200"/>
    </w:pPr>
    <w:rPr>
      <w:rFonts w:ascii="Calibri" w:hAnsi="Calibri" w:eastAsia="宋体" w:cs="Times New Roman"/>
      <w:kern w:val="0"/>
      <w:sz w:val="20"/>
      <w:szCs w:val="20"/>
    </w:rPr>
  </w:style>
  <w:style w:type="paragraph" w:styleId="7">
    <w:name w:val="toa heading"/>
    <w:basedOn w:val="1"/>
    <w:next w:val="1"/>
    <w:qFormat/>
    <w:uiPriority w:val="99"/>
    <w:rPr>
      <w:rFonts w:ascii="Arial" w:hAnsi="Arial"/>
      <w:sz w:val="24"/>
      <w:szCs w:val="20"/>
    </w:rPr>
  </w:style>
  <w:style w:type="paragraph" w:styleId="8">
    <w:name w:val="Plain Text"/>
    <w:basedOn w:val="1"/>
    <w:qFormat/>
    <w:uiPriority w:val="0"/>
    <w:rPr>
      <w:rFonts w:ascii="宋体" w:hAnsi="Courier New"/>
    </w:rPr>
  </w:style>
  <w:style w:type="paragraph" w:styleId="9">
    <w:name w:val="Balloon Text"/>
    <w:basedOn w:val="1"/>
    <w:link w:val="20"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table" w:styleId="14">
    <w:name w:val="Table Grid"/>
    <w:basedOn w:val="13"/>
    <w:unhideWhenUsed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6">
    <w:name w:val="Default"/>
    <w:unhideWhenUsed/>
    <w:qFormat/>
    <w:uiPriority w:val="0"/>
    <w:pPr>
      <w:widowControl w:val="0"/>
      <w:autoSpaceDE w:val="0"/>
      <w:autoSpaceDN w:val="0"/>
    </w:pPr>
    <w:rPr>
      <w:rFonts w:hint="eastAsia" w:ascii="Calibri" w:hAnsi="Calibri" w:eastAsia="宋体" w:cs="Times New Roman"/>
      <w:color w:val="000000"/>
      <w:sz w:val="24"/>
      <w:lang w:val="en-US" w:eastAsia="zh-CN" w:bidi="ar-SA"/>
    </w:rPr>
  </w:style>
  <w:style w:type="paragraph" w:customStyle="1" w:styleId="17">
    <w:name w:val="No Spacing1"/>
    <w:qFormat/>
    <w:uiPriority w:val="99"/>
    <w:pPr>
      <w:widowControl w:val="0"/>
      <w:jc w:val="both"/>
    </w:pPr>
    <w:rPr>
      <w:rFonts w:ascii="Calibri" w:hAnsi="Calibri" w:eastAsia="等线" w:cs="等线"/>
      <w:kern w:val="2"/>
      <w:sz w:val="21"/>
      <w:szCs w:val="22"/>
      <w:lang w:val="en-US" w:eastAsia="zh-CN" w:bidi="ar-SA"/>
    </w:rPr>
  </w:style>
  <w:style w:type="character" w:customStyle="1" w:styleId="18">
    <w:name w:val="页眉 Char"/>
    <w:basedOn w:val="15"/>
    <w:link w:val="11"/>
    <w:qFormat/>
    <w:uiPriority w:val="99"/>
    <w:rPr>
      <w:sz w:val="18"/>
      <w:szCs w:val="18"/>
    </w:rPr>
  </w:style>
  <w:style w:type="character" w:customStyle="1" w:styleId="19">
    <w:name w:val="页脚 Char"/>
    <w:basedOn w:val="15"/>
    <w:link w:val="10"/>
    <w:qFormat/>
    <w:uiPriority w:val="99"/>
    <w:rPr>
      <w:sz w:val="18"/>
      <w:szCs w:val="18"/>
    </w:rPr>
  </w:style>
  <w:style w:type="character" w:customStyle="1" w:styleId="20">
    <w:name w:val="批注框文本 Char"/>
    <w:basedOn w:val="15"/>
    <w:link w:val="9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A7A3D1-FF81-463C-9461-320C0FD7BCC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604</Words>
  <Characters>835</Characters>
  <Lines>8</Lines>
  <Paragraphs>2</Paragraphs>
  <TotalTime>8</TotalTime>
  <ScaleCrop>false</ScaleCrop>
  <LinksUpToDate>false</LinksUpToDate>
  <CharactersWithSpaces>870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2018-07-06T04:10:00Z</dcterms:created>
  <dc:creator>NTKO</dc:creator>
  <cp:lastModifiedBy>Administrator</cp:lastModifiedBy>
  <cp:lastPrinted>2021-12-15T01:44:00Z</cp:lastPrinted>
  <dcterms:modified xsi:type="dcterms:W3CDTF">2025-09-30T07:23:01Z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34A8AFBCAC274920928470F0D40A7CDE</vt:lpwstr>
  </property>
  <property fmtid="{D5CDD505-2E9C-101B-9397-08002B2CF9AE}" pid="4" name="KSOTemplateDocerSaveRecord">
    <vt:lpwstr>eyJoZGlkIjoiNjVkOWQ1ZjM4MTA5M2ZiNmRlODllZmFiMjAyMDExM2MiLCJ1c2VySWQiOiIzODA2NDAwMzUifQ==</vt:lpwstr>
  </property>
</Properties>
</file>