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351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山东省泰安英雄山中学学生宿舍置物间改造项目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 w:cs="宋体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宋体" w:eastAsia="仿宋_GB2312" w:cs="宋体"/>
          <w:sz w:val="28"/>
          <w:szCs w:val="28"/>
          <w:lang w:val="zh-CN" w:eastAsia="zh-CN"/>
        </w:rPr>
        <w:t>SDSYCG2025-07-43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宋体" w:eastAsia="仿宋_GB2312" w:cs="宋体"/>
          <w:sz w:val="28"/>
          <w:szCs w:val="28"/>
          <w:lang w:val="zh-CN" w:eastAsia="zh-CN"/>
        </w:rPr>
        <w:t>山东省泰安英雄山中学学生宿舍置物间改造项目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/>
        </w:rPr>
        <w:t>泰安市岱岳区火天厨房电器商行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址：泰安光彩大市场2区4栋10号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147000.00</w:t>
      </w:r>
      <w:r>
        <w:rPr>
          <w:rFonts w:hint="eastAsia" w:ascii="仿宋_GB2312" w:hAnsi="楷体" w:eastAsia="仿宋_GB2312" w:cs="Times New Roman"/>
          <w:sz w:val="28"/>
          <w:szCs w:val="28"/>
          <w:u w:val="none"/>
        </w:rPr>
        <w:t>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5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Layout w:type="fixed"/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Layout w:type="fixed"/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山东省泰安英雄山中学学生宿舍置物间改造项目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施工范围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主要施工内容为钢支架、墙面板安装等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天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鲁超、赵颖、颜丽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 w14:paraId="1DA96306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4"/>
        <w:tblW w:w="9276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81"/>
        <w:gridCol w:w="1354"/>
        <w:gridCol w:w="1301"/>
        <w:gridCol w:w="947"/>
        <w:gridCol w:w="1166"/>
        <w:gridCol w:w="1122"/>
        <w:gridCol w:w="830"/>
      </w:tblGrid>
      <w:tr w14:paraId="78DCFB03">
        <w:tblPrEx>
          <w:tblLayout w:type="fixed"/>
        </w:tblPrEx>
        <w:trPr>
          <w:trHeight w:val="49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660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D69F6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79A8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46B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6ECB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技术部分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商务部分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Layout w:type="fixed"/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A953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F8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泰安市岱岳区火天厨房电器商行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D9F9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148069.12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A3B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60.40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9.83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90.23</w:t>
            </w:r>
          </w:p>
        </w:tc>
      </w:tr>
      <w:tr w14:paraId="40E03BD7">
        <w:tblPrEx>
          <w:tblLayout w:type="fixed"/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22F8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8F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泰安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盛源商贸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3ED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147846.40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CF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147600.00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19.92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57.80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9.83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87.55</w:t>
            </w:r>
          </w:p>
        </w:tc>
      </w:tr>
      <w:tr w14:paraId="5EC86E22">
        <w:tblPrEx>
          <w:tblLayout w:type="fixed"/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63297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94E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泰安凯盛全屋定制有限公司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60D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148080.00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5FF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147380.00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19.95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55.97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9.67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85.58</w:t>
            </w:r>
          </w:p>
        </w:tc>
      </w:tr>
      <w:tr w14:paraId="58767F0E">
        <w:tblPrEx>
          <w:tblLayout w:type="fixed"/>
        </w:tblPrEx>
        <w:trPr>
          <w:trHeight w:val="72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66E0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泰安市赛桐家居有限公司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6A3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147955.84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F716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147500.00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19.93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55.67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9.67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85.27 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4"/>
        <w:tblW w:w="9261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222"/>
        <w:gridCol w:w="1834"/>
        <w:gridCol w:w="1700"/>
        <w:gridCol w:w="1290"/>
      </w:tblGrid>
      <w:tr w14:paraId="53D24058">
        <w:tblPrEx>
          <w:tblLayout w:type="fixed"/>
        </w:tblPrEx>
        <w:trPr>
          <w:trHeight w:val="734" w:hRule="atLeast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14:paraId="36AA2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339FD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 w14:paraId="79055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首次报价（元）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 w14:paraId="6A3BA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最后报价（元）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264DC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14:paraId="7D6F4395">
        <w:tblPrEx>
          <w:tblLayout w:type="fixed"/>
        </w:tblPrEx>
        <w:trPr>
          <w:trHeight w:val="530" w:hRule="atLeast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14:paraId="183486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泰安市岱岳区火天厨房电器商行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3CA356E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90.23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 w14:paraId="244BAED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148069.12 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 w14:paraId="3E92AD2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147000.00 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445068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</w:p>
        </w:tc>
      </w:tr>
      <w:tr w14:paraId="07543717">
        <w:tblPrEx>
          <w:tblLayout w:type="fixed"/>
        </w:tblPrEx>
        <w:trPr>
          <w:trHeight w:val="543" w:hRule="atLeast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14:paraId="571D65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泰安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盛源商贸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 w:bidi="ar"/>
              </w:rPr>
              <w:t>有限公司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667CB3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87.55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 w14:paraId="480E190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147846.40 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 w14:paraId="087A3F1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147600.00 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397D33E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</w:tr>
      <w:tr w14:paraId="1854DB0C">
        <w:tblPrEx>
          <w:tblLayout w:type="fixed"/>
        </w:tblPrEx>
        <w:trPr>
          <w:trHeight w:val="553" w:hRule="atLeast"/>
        </w:trPr>
        <w:tc>
          <w:tcPr>
            <w:tcW w:w="3215" w:type="dxa"/>
            <w:tcBorders>
              <w:right w:val="single" w:color="auto" w:sz="4" w:space="0"/>
            </w:tcBorders>
            <w:vAlign w:val="center"/>
          </w:tcPr>
          <w:p w14:paraId="58EA1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泰安凯盛全屋定制有限公司</w:t>
            </w:r>
          </w:p>
        </w:tc>
        <w:tc>
          <w:tcPr>
            <w:tcW w:w="1222" w:type="dxa"/>
            <w:tcBorders>
              <w:left w:val="single" w:color="auto" w:sz="4" w:space="0"/>
            </w:tcBorders>
            <w:vAlign w:val="center"/>
          </w:tcPr>
          <w:p w14:paraId="76F7B4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85.58</w:t>
            </w:r>
          </w:p>
        </w:tc>
        <w:tc>
          <w:tcPr>
            <w:tcW w:w="1834" w:type="dxa"/>
            <w:tcBorders>
              <w:right w:val="single" w:color="auto" w:sz="4" w:space="0"/>
            </w:tcBorders>
            <w:vAlign w:val="center"/>
          </w:tcPr>
          <w:p w14:paraId="20BE09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148080.00 </w:t>
            </w:r>
          </w:p>
        </w:tc>
        <w:tc>
          <w:tcPr>
            <w:tcW w:w="1700" w:type="dxa"/>
            <w:tcBorders>
              <w:left w:val="single" w:color="auto" w:sz="4" w:space="0"/>
            </w:tcBorders>
            <w:vAlign w:val="center"/>
          </w:tcPr>
          <w:p w14:paraId="135061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 xml:space="preserve">147380.00 </w:t>
            </w: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1A4EA84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岱岳区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695AF31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eastAsia="宋?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7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3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10"/>
    <w:qFormat/>
    <w:uiPriority w:val="99"/>
    <w:rPr>
      <w:sz w:val="18"/>
      <w:szCs w:val="18"/>
    </w:rPr>
  </w:style>
  <w:style w:type="character" w:customStyle="1" w:styleId="20">
    <w:name w:val="批注框文本 Char"/>
    <w:basedOn w:val="13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622</Words>
  <Characters>855</Characters>
  <Lines>8</Lines>
  <Paragraphs>2</Paragraphs>
  <TotalTime>0</TotalTime>
  <ScaleCrop>false</ScaleCrop>
  <LinksUpToDate>false</LinksUpToDate>
  <CharactersWithSpaces>901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2018-07-06T12:10:00Z</dcterms:created>
  <dc:creator>NTKO</dc:creator>
  <cp:lastModifiedBy>iPhone</cp:lastModifiedBy>
  <cp:lastPrinted>2021-12-15T09:44:00Z</cp:lastPrinted>
  <dcterms:modified xsi:type="dcterms:W3CDTF">2025-07-23T11:28:42Z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ICV">
    <vt:lpwstr>DBD29DB0D5321338EA5680681F9E43C7_33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