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46" w:rsidRDefault="00B30146" w:rsidP="00B30146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 w:hint="default"/>
          <w:b/>
          <w:kern w:val="44"/>
          <w:sz w:val="32"/>
          <w:szCs w:val="24"/>
        </w:rPr>
      </w:pPr>
      <w:bookmarkStart w:id="0" w:name="OLE_LINK2"/>
      <w:bookmarkStart w:id="1" w:name="OLE_LINK1"/>
      <w:r>
        <w:rPr>
          <w:rFonts w:ascii="仿宋" w:eastAsia="仿宋" w:hAnsi="仿宋"/>
          <w:b/>
          <w:kern w:val="44"/>
          <w:sz w:val="32"/>
          <w:szCs w:val="24"/>
        </w:rPr>
        <w:t>山东省泰安英雄山中学</w:t>
      </w:r>
    </w:p>
    <w:p w:rsidR="00B30146" w:rsidRDefault="00B30146" w:rsidP="00B30146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 w:hint="default"/>
          <w:b/>
          <w:sz w:val="32"/>
          <w:szCs w:val="24"/>
        </w:rPr>
      </w:pPr>
      <w:r>
        <w:rPr>
          <w:rFonts w:ascii="仿宋" w:eastAsia="仿宋" w:hAnsi="仿宋"/>
          <w:b/>
          <w:kern w:val="44"/>
          <w:sz w:val="32"/>
          <w:szCs w:val="24"/>
          <w:lang w:val="zh-CN"/>
        </w:rPr>
        <w:t>学生公寓宿舍卫生间</w:t>
      </w:r>
      <w:r>
        <w:rPr>
          <w:rFonts w:ascii="仿宋" w:eastAsia="仿宋" w:hAnsi="仿宋"/>
          <w:b/>
          <w:kern w:val="44"/>
          <w:sz w:val="32"/>
          <w:szCs w:val="24"/>
        </w:rPr>
        <w:t>维修</w:t>
      </w:r>
      <w:r>
        <w:rPr>
          <w:rFonts w:ascii="仿宋" w:eastAsia="仿宋" w:hAnsi="仿宋"/>
          <w:b/>
          <w:kern w:val="44"/>
          <w:sz w:val="32"/>
          <w:szCs w:val="24"/>
          <w:lang w:val="zh-CN"/>
        </w:rPr>
        <w:t>项目</w:t>
      </w:r>
      <w:proofErr w:type="gramStart"/>
      <w:r>
        <w:rPr>
          <w:rFonts w:ascii="仿宋" w:eastAsia="仿宋" w:hAnsi="仿宋"/>
          <w:b/>
          <w:kern w:val="44"/>
          <w:sz w:val="32"/>
          <w:szCs w:val="24"/>
        </w:rPr>
        <w:t>询</w:t>
      </w:r>
      <w:proofErr w:type="gramEnd"/>
      <w:r>
        <w:rPr>
          <w:rFonts w:ascii="仿宋" w:eastAsia="仿宋" w:hAnsi="仿宋"/>
          <w:b/>
          <w:kern w:val="44"/>
          <w:sz w:val="32"/>
          <w:szCs w:val="24"/>
        </w:rPr>
        <w:t>比价公告</w:t>
      </w:r>
      <w:bookmarkStart w:id="2" w:name="_GoBack"/>
      <w:bookmarkEnd w:id="2"/>
    </w:p>
    <w:bookmarkEnd w:id="0"/>
    <w:bookmarkEnd w:id="1"/>
    <w:p w:rsidR="008C4AF7" w:rsidRPr="00D67327" w:rsidRDefault="00B30146" w:rsidP="00B30146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300" w:firstLine="720"/>
        <w:jc w:val="left"/>
        <w:rPr>
          <w:rFonts w:ascii="仿宋" w:eastAsia="仿宋" w:hAnsi="仿宋" w:cs="仿宋" w:hint="default"/>
          <w:sz w:val="24"/>
          <w:szCs w:val="24"/>
        </w:rPr>
      </w:pPr>
      <w:r w:rsidRPr="00B30146">
        <w:rPr>
          <w:rFonts w:ascii="仿宋" w:eastAsia="仿宋" w:hAnsi="仿宋" w:cs="仿宋_GB2312"/>
          <w:bCs/>
          <w:sz w:val="24"/>
          <w:szCs w:val="24"/>
          <w:lang w:val="zh-CN"/>
        </w:rPr>
        <w:t>山东省泰安英雄山中学学生公寓宿舍卫生间维修项目</w:t>
      </w:r>
      <w:r w:rsidR="008C4AF7" w:rsidRPr="00D67327">
        <w:rPr>
          <w:rFonts w:ascii="仿宋" w:eastAsia="仿宋" w:hAnsi="仿宋" w:cs="仿宋_GB2312"/>
          <w:bCs/>
          <w:sz w:val="24"/>
          <w:szCs w:val="24"/>
          <w:lang w:val="zh-CN"/>
        </w:rPr>
        <w:t>以</w:t>
      </w:r>
      <w:proofErr w:type="gramStart"/>
      <w:r w:rsidR="008C4AF7" w:rsidRPr="00D67327">
        <w:rPr>
          <w:rFonts w:ascii="仿宋" w:eastAsia="仿宋" w:hAnsi="仿宋" w:cs="仿宋_GB2312"/>
          <w:bCs/>
          <w:sz w:val="24"/>
          <w:szCs w:val="24"/>
          <w:lang w:val="zh-CN"/>
        </w:rPr>
        <w:t>询</w:t>
      </w:r>
      <w:proofErr w:type="gramEnd"/>
      <w:r w:rsidR="008C4AF7" w:rsidRPr="00D67327">
        <w:rPr>
          <w:rFonts w:ascii="仿宋" w:eastAsia="仿宋" w:hAnsi="仿宋" w:cs="仿宋_GB2312"/>
          <w:bCs/>
          <w:sz w:val="24"/>
          <w:szCs w:val="24"/>
          <w:lang w:val="zh-CN"/>
        </w:rPr>
        <w:t>比价方式进</w:t>
      </w:r>
      <w:r w:rsidR="008C4AF7" w:rsidRPr="00D67327">
        <w:rPr>
          <w:rFonts w:ascii="仿宋" w:eastAsia="仿宋" w:hAnsi="仿宋" w:cs="仿宋"/>
          <w:sz w:val="24"/>
          <w:szCs w:val="24"/>
        </w:rPr>
        <w:t>行采购，现公开征集符合条件的供应商参加本项目</w:t>
      </w:r>
      <w:proofErr w:type="gramStart"/>
      <w:r w:rsidR="008C4AF7" w:rsidRPr="00D67327">
        <w:rPr>
          <w:rFonts w:ascii="仿宋" w:eastAsia="仿宋" w:hAnsi="仿宋" w:cs="仿宋"/>
          <w:sz w:val="24"/>
          <w:szCs w:val="24"/>
        </w:rPr>
        <w:t>询</w:t>
      </w:r>
      <w:proofErr w:type="gramEnd"/>
      <w:r w:rsidR="008C4AF7" w:rsidRPr="00D67327">
        <w:rPr>
          <w:rFonts w:ascii="仿宋" w:eastAsia="仿宋" w:hAnsi="仿宋" w:cs="仿宋"/>
          <w:sz w:val="24"/>
          <w:szCs w:val="24"/>
        </w:rPr>
        <w:t>比价。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</w:rPr>
      </w:pPr>
      <w:r w:rsidRPr="00D67327">
        <w:rPr>
          <w:rFonts w:ascii="仿宋" w:eastAsia="仿宋" w:hAnsi="仿宋"/>
          <w:sz w:val="24"/>
          <w:szCs w:val="24"/>
        </w:rPr>
        <w:t>1、</w:t>
      </w:r>
      <w:r w:rsidRPr="00D67327">
        <w:rPr>
          <w:rFonts w:ascii="仿宋" w:eastAsia="仿宋" w:hAnsi="仿宋"/>
          <w:sz w:val="24"/>
          <w:szCs w:val="24"/>
          <w:lang w:val="zh-CN"/>
        </w:rPr>
        <w:t>项目名称</w:t>
      </w:r>
      <w:r w:rsidRPr="00D67327">
        <w:rPr>
          <w:rFonts w:ascii="仿宋" w:eastAsia="仿宋" w:hAnsi="仿宋" w:cs="仿宋_GB2312"/>
          <w:bCs/>
          <w:sz w:val="24"/>
          <w:szCs w:val="24"/>
        </w:rPr>
        <w:t>：</w:t>
      </w:r>
      <w:r w:rsidR="00B30146" w:rsidRPr="00B30146">
        <w:rPr>
          <w:rFonts w:ascii="仿宋" w:eastAsia="仿宋" w:hAnsi="仿宋" w:cs="仿宋_GB2312"/>
          <w:bCs/>
          <w:sz w:val="24"/>
          <w:szCs w:val="24"/>
          <w:lang w:val="zh-CN"/>
        </w:rPr>
        <w:t>山东省泰安英雄山中学学生公寓宿舍卫生间维修项目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</w:rPr>
        <w:t>2、工期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：</w:t>
      </w:r>
      <w:r w:rsidR="00775C8B">
        <w:rPr>
          <w:rFonts w:ascii="仿宋" w:eastAsia="仿宋" w:hAnsi="仿宋" w:cs="仿宋_GB2312"/>
          <w:bCs/>
          <w:sz w:val="24"/>
          <w:szCs w:val="24"/>
        </w:rPr>
        <w:t>10</w:t>
      </w:r>
      <w:r w:rsidRPr="00D67327">
        <w:rPr>
          <w:rFonts w:ascii="仿宋" w:eastAsia="仿宋" w:hAnsi="仿宋" w:cs="仿宋_GB2312"/>
          <w:bCs/>
          <w:sz w:val="24"/>
          <w:szCs w:val="24"/>
        </w:rPr>
        <w:t>日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 w:hint="default"/>
          <w:bCs/>
          <w:sz w:val="24"/>
          <w:szCs w:val="24"/>
          <w:lang w:val="zh-CN"/>
        </w:rPr>
        <w:t>3、</w:t>
      </w:r>
      <w:r w:rsidRPr="00D67327">
        <w:rPr>
          <w:rFonts w:ascii="仿宋" w:eastAsia="仿宋" w:hAnsi="仿宋" w:cs="仿宋_GB2312"/>
          <w:bCs/>
          <w:sz w:val="24"/>
          <w:szCs w:val="24"/>
        </w:rPr>
        <w:t>预算控制价：80000元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4、</w:t>
      </w:r>
      <w:r w:rsidRPr="00D67327">
        <w:rPr>
          <w:rFonts w:ascii="仿宋" w:eastAsia="仿宋" w:hAnsi="仿宋" w:cs="仿宋"/>
          <w:sz w:val="24"/>
          <w:szCs w:val="24"/>
        </w:rPr>
        <w:t>资金性质：财政资金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 w:hint="default"/>
          <w:bCs/>
          <w:sz w:val="24"/>
          <w:szCs w:val="24"/>
          <w:lang w:val="zh-CN"/>
        </w:rPr>
        <w:t>5、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供应商资格要求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bookmarkStart w:id="3" w:name="_Toc35393631"/>
      <w:bookmarkStart w:id="4" w:name="_Toc28359091"/>
      <w:bookmarkStart w:id="5" w:name="_Toc28359014"/>
      <w:bookmarkEnd w:id="3"/>
      <w:bookmarkEnd w:id="4"/>
      <w:bookmarkEnd w:id="5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5.</w:t>
      </w:r>
      <w:r w:rsidRPr="00D67327">
        <w:rPr>
          <w:rFonts w:ascii="仿宋" w:eastAsia="仿宋" w:hAnsi="仿宋" w:cs="仿宋_GB2312"/>
          <w:bCs/>
          <w:sz w:val="24"/>
          <w:szCs w:val="24"/>
        </w:rPr>
        <w:t>1在中华人民共和国依法注册的合法经营者，具备有效的营业执照，具有相应的施工及售后服务能力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；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5.</w:t>
      </w:r>
      <w:r w:rsidRPr="00D67327">
        <w:rPr>
          <w:rFonts w:ascii="仿宋" w:eastAsia="仿宋" w:hAnsi="仿宋" w:cs="仿宋_GB2312"/>
          <w:bCs/>
          <w:sz w:val="24"/>
          <w:szCs w:val="24"/>
        </w:rPr>
        <w:t>2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本项目不接受联合体报价。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</w:rPr>
        <w:t>6、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报价方式：工程量清单报价；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承包方式：本工程采用</w:t>
      </w:r>
      <w:proofErr w:type="gramStart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全费用</w:t>
      </w:r>
      <w:proofErr w:type="gramEnd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单价合同承包方式；供应商所填报价格在合同实施期间不因市场变化（或政策性）因素而变动，应依据市场行情价、施工现场状况及本单位具体情况编制；所报价格应包括临时工程与设施、各种施工防护设施、施工环保费用、驻地建设费用、人工、材料、机械、质检（自检）、安装、各项措施费用、缺陷修复、管理、保险、利润、</w:t>
      </w:r>
      <w:proofErr w:type="gramStart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规</w:t>
      </w:r>
      <w:proofErr w:type="gramEnd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费、税金等费用，采购单位或合同明示或暗示的所有责任、义务和风险等。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结算方式：工程量按实际发生进行结算</w:t>
      </w:r>
      <w:r w:rsidRPr="00D67327">
        <w:rPr>
          <w:rFonts w:ascii="仿宋" w:eastAsia="仿宋" w:hAnsi="仿宋" w:cs="仿宋_GB2312" w:hint="default"/>
          <w:bCs/>
          <w:sz w:val="24"/>
          <w:szCs w:val="24"/>
          <w:lang w:val="zh-CN"/>
        </w:rPr>
        <w:t>。</w:t>
      </w:r>
    </w:p>
    <w:p w:rsidR="008C4AF7" w:rsidRPr="00821552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 w:cs="仿宋_GB2312"/>
          <w:bCs/>
          <w:sz w:val="24"/>
          <w:szCs w:val="24"/>
        </w:rPr>
        <w:t>7、付款方式：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工程竣工验收合格并经审计定案后付至审计定案值的100%。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8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、评审办法：最低评标价法</w:t>
      </w:r>
    </w:p>
    <w:p w:rsidR="008C4AF7" w:rsidRPr="00D67327" w:rsidRDefault="008C4AF7" w:rsidP="008C4AF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9</w:t>
      </w:r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、获取</w:t>
      </w:r>
      <w:proofErr w:type="gramStart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询</w:t>
      </w:r>
      <w:proofErr w:type="gramEnd"/>
      <w:r w:rsidRPr="00D67327">
        <w:rPr>
          <w:rFonts w:ascii="仿宋" w:eastAsia="仿宋" w:hAnsi="仿宋" w:cs="仿宋_GB2312"/>
          <w:bCs/>
          <w:sz w:val="24"/>
          <w:szCs w:val="24"/>
          <w:lang w:val="zh-CN"/>
        </w:rPr>
        <w:t>比价文件</w:t>
      </w:r>
    </w:p>
    <w:p w:rsidR="008C4AF7" w:rsidRPr="00821552" w:rsidRDefault="008C4AF7" w:rsidP="008C4AF7">
      <w:pPr>
        <w:pStyle w:val="a5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_GB2312" w:hint="default"/>
          <w:bCs/>
          <w:szCs w:val="24"/>
          <w:lang w:val="zh-CN"/>
        </w:rPr>
      </w:pPr>
      <w:r w:rsidRPr="00821552">
        <w:rPr>
          <w:rFonts w:ascii="仿宋" w:eastAsia="仿宋" w:hAnsi="仿宋" w:cs="仿宋_GB2312"/>
          <w:bCs/>
          <w:szCs w:val="24"/>
          <w:lang w:val="zh-CN"/>
        </w:rPr>
        <w:t>时间：自2025年5月2</w:t>
      </w:r>
      <w:r w:rsidR="00C9352A">
        <w:rPr>
          <w:rFonts w:ascii="仿宋" w:eastAsia="仿宋" w:hAnsi="仿宋" w:cs="仿宋_GB2312"/>
          <w:bCs/>
          <w:szCs w:val="24"/>
          <w:lang w:val="zh-CN"/>
        </w:rPr>
        <w:t>7</w:t>
      </w:r>
      <w:r w:rsidRPr="00821552">
        <w:rPr>
          <w:rFonts w:ascii="仿宋" w:eastAsia="仿宋" w:hAnsi="仿宋" w:cs="仿宋_GB2312"/>
          <w:bCs/>
          <w:szCs w:val="24"/>
          <w:lang w:val="zh-CN"/>
        </w:rPr>
        <w:t>日起至2025年5月2</w:t>
      </w:r>
      <w:r w:rsidR="00C9352A">
        <w:rPr>
          <w:rFonts w:ascii="仿宋" w:eastAsia="仿宋" w:hAnsi="仿宋" w:cs="仿宋_GB2312"/>
          <w:bCs/>
          <w:szCs w:val="24"/>
          <w:lang w:val="zh-CN"/>
        </w:rPr>
        <w:t>9</w:t>
      </w:r>
      <w:r w:rsidRPr="00821552">
        <w:rPr>
          <w:rFonts w:ascii="仿宋" w:eastAsia="仿宋" w:hAnsi="仿宋" w:cs="仿宋_GB2312"/>
          <w:bCs/>
          <w:szCs w:val="24"/>
          <w:lang w:val="zh-CN"/>
        </w:rPr>
        <w:t>日，每天上午8时30分至11时30分，下午13时30分至16时30分（北京时间，节假日除外，下同）；</w:t>
      </w:r>
    </w:p>
    <w:p w:rsidR="008C4AF7" w:rsidRPr="00821552" w:rsidRDefault="008C4AF7" w:rsidP="008C4AF7">
      <w:pPr>
        <w:spacing w:line="360" w:lineRule="auto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10、响应文件递交时间、截止时间</w:t>
      </w:r>
    </w:p>
    <w:p w:rsidR="008C4AF7" w:rsidRPr="00821552" w:rsidRDefault="008C4AF7" w:rsidP="008C4AF7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821552">
        <w:rPr>
          <w:rFonts w:ascii="仿宋" w:eastAsia="仿宋" w:hAnsi="仿宋" w:cs="仿宋_GB2312" w:hint="default"/>
          <w:bCs/>
          <w:sz w:val="24"/>
          <w:szCs w:val="24"/>
          <w:lang w:val="zh-CN"/>
        </w:rPr>
        <w:t>（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1）递交时间：2025年5月30日0</w:t>
      </w:r>
      <w:r w:rsidRPr="00821552">
        <w:rPr>
          <w:rFonts w:ascii="仿宋" w:eastAsia="仿宋" w:hAnsi="仿宋" w:cs="仿宋_GB2312" w:hint="default"/>
          <w:bCs/>
          <w:sz w:val="24"/>
          <w:szCs w:val="24"/>
          <w:lang w:val="zh-CN"/>
        </w:rPr>
        <w:t>8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时30分起至</w:t>
      </w:r>
      <w:r w:rsidRPr="00821552">
        <w:rPr>
          <w:rFonts w:ascii="仿宋" w:eastAsia="仿宋" w:hAnsi="仿宋" w:cs="仿宋_GB2312" w:hint="default"/>
          <w:bCs/>
          <w:sz w:val="24"/>
          <w:szCs w:val="24"/>
          <w:lang w:val="zh-CN"/>
        </w:rPr>
        <w:t>09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时30分止；</w:t>
      </w:r>
    </w:p>
    <w:p w:rsidR="008C4AF7" w:rsidRPr="00821552" w:rsidRDefault="008C4AF7" w:rsidP="008C4AF7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821552">
        <w:rPr>
          <w:rFonts w:ascii="仿宋" w:eastAsia="仿宋" w:hAnsi="仿宋" w:cs="仿宋_GB2312" w:hint="default"/>
          <w:bCs/>
          <w:sz w:val="24"/>
          <w:szCs w:val="24"/>
          <w:lang w:val="zh-CN"/>
        </w:rPr>
        <w:t>（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2）截止时间：2025年5月30日</w:t>
      </w:r>
      <w:r w:rsidRPr="00821552">
        <w:rPr>
          <w:rFonts w:ascii="仿宋" w:eastAsia="仿宋" w:hAnsi="仿宋" w:cs="仿宋_GB2312" w:hint="default"/>
          <w:bCs/>
          <w:sz w:val="24"/>
          <w:szCs w:val="24"/>
          <w:lang w:val="zh-CN"/>
        </w:rPr>
        <w:t>09</w:t>
      </w: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时30分；</w:t>
      </w:r>
    </w:p>
    <w:p w:rsidR="008C4AF7" w:rsidRPr="00D67327" w:rsidRDefault="008C4AF7" w:rsidP="008C4AF7">
      <w:pPr>
        <w:spacing w:line="360" w:lineRule="auto"/>
        <w:rPr>
          <w:rFonts w:ascii="仿宋" w:eastAsia="仿宋" w:hAnsi="仿宋" w:cs="仿宋" w:hint="default"/>
          <w:sz w:val="24"/>
          <w:szCs w:val="24"/>
        </w:rPr>
      </w:pPr>
      <w:r w:rsidRPr="00821552">
        <w:rPr>
          <w:rFonts w:ascii="仿宋" w:eastAsia="仿宋" w:hAnsi="仿宋" w:cs="仿宋_GB2312"/>
          <w:bCs/>
          <w:sz w:val="24"/>
          <w:szCs w:val="24"/>
          <w:lang w:val="zh-CN"/>
        </w:rPr>
        <w:t>（3）递交地点及地址：山东省泰安英雄山中学会议</w:t>
      </w:r>
      <w:r w:rsidRPr="00D67327">
        <w:rPr>
          <w:rFonts w:ascii="仿宋" w:eastAsia="仿宋" w:hAnsi="仿宋" w:cs="仿宋"/>
          <w:sz w:val="24"/>
          <w:szCs w:val="24"/>
        </w:rPr>
        <w:t>室</w:t>
      </w:r>
    </w:p>
    <w:p w:rsidR="008C4AF7" w:rsidRPr="00D67327" w:rsidRDefault="008C4AF7" w:rsidP="008C4AF7">
      <w:pPr>
        <w:spacing w:line="360" w:lineRule="auto"/>
        <w:ind w:firstLineChars="200" w:firstLine="480"/>
        <w:rPr>
          <w:rFonts w:ascii="仿宋" w:eastAsia="仿宋" w:hAnsi="仿宋" w:hint="default"/>
          <w:sz w:val="24"/>
          <w:szCs w:val="24"/>
        </w:rPr>
      </w:pPr>
      <w:r w:rsidRPr="00D67327">
        <w:rPr>
          <w:rFonts w:ascii="仿宋" w:eastAsia="仿宋" w:hAnsi="仿宋"/>
          <w:sz w:val="24"/>
          <w:szCs w:val="24"/>
          <w:lang w:val="zh-CN"/>
        </w:rPr>
        <w:lastRenderedPageBreak/>
        <w:t>地址：</w:t>
      </w:r>
      <w:r w:rsidRPr="00D67327">
        <w:rPr>
          <w:rFonts w:ascii="仿宋" w:eastAsia="仿宋" w:hAnsi="仿宋" w:cs="仿宋"/>
          <w:sz w:val="24"/>
          <w:szCs w:val="24"/>
          <w:lang w:val="zh-CN"/>
        </w:rPr>
        <w:t>泰安市英才街11号</w:t>
      </w:r>
    </w:p>
    <w:p w:rsidR="008C4AF7" w:rsidRPr="00D67327" w:rsidRDefault="008C4AF7" w:rsidP="008C4AF7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ascii="仿宋" w:eastAsia="仿宋" w:hAnsi="仿宋" w:hint="default"/>
          <w:sz w:val="24"/>
          <w:szCs w:val="24"/>
          <w:lang w:val="zh-CN"/>
        </w:rPr>
      </w:pPr>
      <w:r w:rsidRPr="00D67327">
        <w:rPr>
          <w:rFonts w:ascii="仿宋" w:eastAsia="仿宋" w:hAnsi="仿宋"/>
          <w:sz w:val="24"/>
          <w:szCs w:val="24"/>
          <w:lang w:val="zh-CN"/>
        </w:rPr>
        <w:t>1</w:t>
      </w:r>
      <w:r w:rsidRPr="00D67327">
        <w:rPr>
          <w:rFonts w:ascii="仿宋" w:eastAsia="仿宋" w:hAnsi="仿宋"/>
          <w:sz w:val="24"/>
          <w:szCs w:val="24"/>
        </w:rPr>
        <w:t>1</w:t>
      </w:r>
      <w:r w:rsidRPr="00D67327">
        <w:rPr>
          <w:rFonts w:ascii="仿宋" w:eastAsia="仿宋" w:hAnsi="仿宋"/>
          <w:sz w:val="24"/>
          <w:szCs w:val="24"/>
          <w:lang w:val="zh-CN"/>
        </w:rPr>
        <w:t>、联系方式</w:t>
      </w:r>
    </w:p>
    <w:p w:rsidR="008C4AF7" w:rsidRPr="00D67327" w:rsidRDefault="008C4AF7" w:rsidP="008C4AF7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Chars="200" w:firstLine="480"/>
        <w:rPr>
          <w:rFonts w:ascii="仿宋" w:eastAsia="仿宋" w:hAnsi="仿宋" w:cs="仿宋" w:hint="default"/>
          <w:sz w:val="24"/>
          <w:szCs w:val="24"/>
        </w:rPr>
      </w:pPr>
      <w:r w:rsidRPr="00D67327">
        <w:rPr>
          <w:rFonts w:ascii="仿宋" w:eastAsia="仿宋" w:hAnsi="仿宋"/>
          <w:sz w:val="24"/>
          <w:szCs w:val="24"/>
          <w:lang w:val="zh-CN"/>
        </w:rPr>
        <w:t>采购人：</w:t>
      </w:r>
      <w:r w:rsidRPr="00D67327">
        <w:rPr>
          <w:rFonts w:ascii="仿宋" w:eastAsia="仿宋" w:hAnsi="仿宋" w:cs="仿宋"/>
          <w:sz w:val="24"/>
          <w:szCs w:val="24"/>
        </w:rPr>
        <w:t>山东省泰安英雄山中学</w:t>
      </w:r>
    </w:p>
    <w:p w:rsidR="008C4AF7" w:rsidRPr="00D67327" w:rsidRDefault="008C4AF7" w:rsidP="008C4AF7">
      <w:pPr>
        <w:spacing w:line="360" w:lineRule="auto"/>
        <w:ind w:firstLineChars="200" w:firstLine="480"/>
        <w:rPr>
          <w:rFonts w:ascii="仿宋" w:eastAsia="仿宋" w:hAnsi="仿宋" w:cs="仿宋_GB2312" w:hint="default"/>
          <w:bCs/>
          <w:sz w:val="24"/>
          <w:szCs w:val="24"/>
          <w:lang w:val="zh-CN"/>
        </w:rPr>
      </w:pPr>
      <w:r w:rsidRPr="00D67327">
        <w:rPr>
          <w:rFonts w:ascii="仿宋" w:eastAsia="仿宋" w:hAnsi="仿宋"/>
          <w:sz w:val="24"/>
          <w:szCs w:val="24"/>
          <w:lang w:val="zh-CN"/>
        </w:rPr>
        <w:t>地址：</w:t>
      </w:r>
      <w:r w:rsidRPr="00D67327">
        <w:rPr>
          <w:rFonts w:ascii="仿宋" w:eastAsia="仿宋" w:hAnsi="仿宋" w:cs="仿宋"/>
          <w:sz w:val="24"/>
          <w:szCs w:val="24"/>
          <w:lang w:val="zh-CN"/>
        </w:rPr>
        <w:t>泰安市英才街11号</w:t>
      </w:r>
    </w:p>
    <w:p w:rsidR="008C4AF7" w:rsidRPr="00D67327" w:rsidRDefault="008C4AF7" w:rsidP="008C4AF7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Chars="200" w:firstLine="480"/>
        <w:rPr>
          <w:rFonts w:ascii="仿宋" w:eastAsia="仿宋" w:hAnsi="仿宋" w:hint="default"/>
          <w:sz w:val="24"/>
          <w:szCs w:val="24"/>
          <w:lang w:val="zh-CN"/>
        </w:rPr>
      </w:pPr>
      <w:r w:rsidRPr="00D67327">
        <w:rPr>
          <w:rFonts w:ascii="仿宋" w:eastAsia="仿宋" w:hAnsi="仿宋"/>
          <w:sz w:val="24"/>
          <w:szCs w:val="24"/>
          <w:lang w:val="zh-CN"/>
        </w:rPr>
        <w:t>联系电话：</w:t>
      </w:r>
      <w:r w:rsidRPr="00D67327">
        <w:rPr>
          <w:rFonts w:ascii="仿宋" w:eastAsia="仿宋" w:hAnsi="仿宋" w:cs="仿宋" w:hint="default"/>
          <w:sz w:val="24"/>
          <w:szCs w:val="24"/>
          <w:lang w:val="zh-CN"/>
        </w:rPr>
        <w:t>0538-8565668</w:t>
      </w:r>
    </w:p>
    <w:p w:rsidR="00DA0CC7" w:rsidRDefault="00DA0CC7">
      <w:pPr>
        <w:rPr>
          <w:rFonts w:hint="default"/>
        </w:rPr>
      </w:pPr>
    </w:p>
    <w:sectPr w:rsidR="00DA0CC7" w:rsidSect="00DA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4D" w:rsidRDefault="0015224D" w:rsidP="008C4AF7">
      <w:pPr>
        <w:rPr>
          <w:rFonts w:hint="default"/>
        </w:rPr>
      </w:pPr>
      <w:r>
        <w:separator/>
      </w:r>
    </w:p>
  </w:endnote>
  <w:endnote w:type="continuationSeparator" w:id="0">
    <w:p w:rsidR="0015224D" w:rsidRDefault="0015224D" w:rsidP="008C4AF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4D" w:rsidRDefault="0015224D" w:rsidP="008C4AF7">
      <w:pPr>
        <w:rPr>
          <w:rFonts w:hint="default"/>
        </w:rPr>
      </w:pPr>
      <w:r>
        <w:separator/>
      </w:r>
    </w:p>
  </w:footnote>
  <w:footnote w:type="continuationSeparator" w:id="0">
    <w:p w:rsidR="0015224D" w:rsidRDefault="0015224D" w:rsidP="008C4AF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AF7"/>
    <w:rsid w:val="000976EA"/>
    <w:rsid w:val="000A1883"/>
    <w:rsid w:val="0015224D"/>
    <w:rsid w:val="00647F98"/>
    <w:rsid w:val="006A3791"/>
    <w:rsid w:val="00775C8B"/>
    <w:rsid w:val="008C4AF7"/>
    <w:rsid w:val="00B30146"/>
    <w:rsid w:val="00B57975"/>
    <w:rsid w:val="00C9352A"/>
    <w:rsid w:val="00DA0CC7"/>
    <w:rsid w:val="00EB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C4AF7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A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A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AF7"/>
    <w:rPr>
      <w:sz w:val="18"/>
      <w:szCs w:val="18"/>
    </w:rPr>
  </w:style>
  <w:style w:type="paragraph" w:styleId="a5">
    <w:name w:val="toa heading"/>
    <w:basedOn w:val="a"/>
    <w:next w:val="a"/>
    <w:uiPriority w:val="99"/>
    <w:qFormat/>
    <w:rsid w:val="008C4AF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2025-05-22T06:40:00Z</dcterms:created>
  <dcterms:modified xsi:type="dcterms:W3CDTF">2025-05-26T03:33:00Z</dcterms:modified>
</cp:coreProperties>
</file>